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04D42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F4F1FD7">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77FF30E">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67.080.10     </w:t>
            </w:r>
            <w:r>
              <w:rPr>
                <w:rFonts w:ascii="黑体" w:hAnsi="黑体" w:eastAsia="黑体"/>
                <w:sz w:val="21"/>
                <w:szCs w:val="21"/>
              </w:rPr>
              <w:fldChar w:fldCharType="end"/>
            </w:r>
            <w:bookmarkEnd w:id="0"/>
          </w:p>
        </w:tc>
      </w:tr>
      <w:tr w14:paraId="39D94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FE6CD8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2A27731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A08C6DC">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CNCAIA</w:t>
                  </w:r>
                  <w:r>
                    <w:fldChar w:fldCharType="end"/>
                  </w:r>
                  <w:bookmarkEnd w:id="1"/>
                </w:p>
              </w:tc>
            </w:tr>
          </w:tbl>
          <w:p w14:paraId="34D0DB5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31     </w:t>
            </w:r>
            <w:r>
              <w:rPr>
                <w:rFonts w:ascii="黑体" w:hAnsi="黑体" w:eastAsia="黑体"/>
                <w:sz w:val="21"/>
                <w:szCs w:val="21"/>
              </w:rPr>
              <w:fldChar w:fldCharType="end"/>
            </w:r>
            <w:bookmarkEnd w:id="2"/>
          </w:p>
        </w:tc>
      </w:tr>
    </w:tbl>
    <w:p w14:paraId="7D77324C">
      <w:pPr>
        <w:pStyle w:val="51"/>
        <w:framePr w:w="9639" w:h="624" w:hRule="exact" w:hSpace="181" w:vSpace="181"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中国苹果产业协会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D6CBC38">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CNCAIA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2026</w:t>
      </w:r>
      <w:r>
        <w:fldChar w:fldCharType="end"/>
      </w:r>
      <w:bookmarkEnd w:id="7"/>
    </w:p>
    <w:p w14:paraId="13A20CAA">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AF9D10C">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85A252E">
      <w:pPr>
        <w:pStyle w:val="51"/>
        <w:framePr w:w="9639" w:h="6976" w:hRule="exact" w:hSpace="0" w:vSpace="0" w:hAnchor="page" w:y="6408"/>
        <w:jc w:val="center"/>
        <w:rPr>
          <w:rFonts w:ascii="黑体" w:hAnsi="黑体" w:eastAsia="黑体"/>
          <w:b w:val="0"/>
          <w:bCs w:val="0"/>
          <w:w w:val="100"/>
        </w:rPr>
      </w:pPr>
    </w:p>
    <w:p w14:paraId="097C8804">
      <w:pPr>
        <w:pStyle w:val="198"/>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花牛苹果等级</w:t>
      </w:r>
      <w:r>
        <w:rPr>
          <w:rFonts w:hint="eastAsia"/>
          <w:lang w:eastAsia="zh-CN"/>
        </w:rPr>
        <w:t>和</w:t>
      </w:r>
      <w:r>
        <w:rPr>
          <w:rFonts w:hint="eastAsia"/>
        </w:rPr>
        <w:t>规格</w:t>
      </w:r>
      <w:r>
        <w:fldChar w:fldCharType="end"/>
      </w:r>
      <w:bookmarkEnd w:id="9"/>
    </w:p>
    <w:p w14:paraId="7067AC75">
      <w:pPr>
        <w:framePr w:w="9639" w:h="6974" w:hRule="exact" w:wrap="around" w:vAnchor="page" w:hAnchor="page" w:x="1419" w:y="6408" w:anchorLock="1"/>
        <w:ind w:left="-1418"/>
      </w:pPr>
    </w:p>
    <w:p w14:paraId="448A9ABD">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Grades and specifications</w:t>
      </w:r>
      <w:r>
        <w:rPr>
          <w:rFonts w:eastAsia="黑体"/>
          <w:szCs w:val="28"/>
        </w:rPr>
        <w:t xml:space="preserve"> of Huaniu apple</w:t>
      </w:r>
      <w:r>
        <w:rPr>
          <w:rFonts w:eastAsia="黑体"/>
          <w:szCs w:val="28"/>
        </w:rPr>
        <w:fldChar w:fldCharType="end"/>
      </w:r>
      <w:bookmarkEnd w:id="10"/>
    </w:p>
    <w:p w14:paraId="5460FE61">
      <w:pPr>
        <w:framePr w:w="9639" w:h="6974" w:hRule="exact" w:wrap="around" w:vAnchor="page" w:hAnchor="page" w:x="1419" w:y="6408" w:anchorLock="1"/>
        <w:spacing w:line="760" w:lineRule="exact"/>
        <w:ind w:left="-1418"/>
      </w:pPr>
    </w:p>
    <w:p w14:paraId="4EDE63EC">
      <w:pPr>
        <w:pStyle w:val="126"/>
        <w:framePr w:w="9639" w:h="6974" w:hRule="exact" w:wrap="around" w:vAnchor="page" w:hAnchor="page" w:x="1419" w:y="6408" w:anchorLock="1"/>
        <w:textAlignment w:val="bottom"/>
        <w:rPr>
          <w:rFonts w:eastAsia="黑体"/>
          <w:szCs w:val="28"/>
        </w:rPr>
      </w:pPr>
    </w:p>
    <w:p w14:paraId="1257489E">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E6EF95D">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1F6BF89">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3208FFD2">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48C4707">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7DC5FF8">
      <w:pPr>
        <w:pStyle w:val="152"/>
        <w:framePr w:h="584" w:hRule="exact" w:hSpace="181" w:vSpace="181"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中国苹果产业协会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7B84151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BDAF5EB">
      <w:pPr>
        <w:pStyle w:val="90"/>
        <w:spacing w:before="560" w:after="360"/>
      </w:pPr>
      <w:bookmarkStart w:id="21" w:name="BookMark2"/>
      <w:r>
        <w:rPr>
          <w:rFonts w:hint="eastAsia"/>
          <w:spacing w:val="320"/>
        </w:rPr>
        <w:t>前</w:t>
      </w:r>
      <w:r>
        <w:rPr>
          <w:rFonts w:hint="eastAsia"/>
        </w:rPr>
        <w:t>言</w:t>
      </w:r>
    </w:p>
    <w:p w14:paraId="20B7DDE7">
      <w:pPr>
        <w:pStyle w:val="57"/>
        <w:ind w:firstLine="420"/>
      </w:pPr>
      <w:r>
        <w:rPr>
          <w:rFonts w:hint="eastAsia"/>
        </w:rPr>
        <w:t>本文件按照GB/T 1.1—2020《标准化工作导则  第1部分：标准化文件的结构和起草规则》的规定起草。</w:t>
      </w:r>
    </w:p>
    <w:p w14:paraId="4896CB34">
      <w:pPr>
        <w:pStyle w:val="57"/>
        <w:ind w:firstLine="420"/>
      </w:pPr>
      <w:r>
        <w:rPr>
          <w:rFonts w:hint="eastAsia"/>
        </w:rPr>
        <w:t>请注意本文件的某些内容可能涉及专利。本文件的发布机构不承担识别专利的责任。</w:t>
      </w:r>
    </w:p>
    <w:p w14:paraId="009551AE">
      <w:pPr>
        <w:pStyle w:val="57"/>
        <w:ind w:firstLine="420"/>
      </w:pPr>
      <w:r>
        <w:rPr>
          <w:rFonts w:hint="eastAsia"/>
        </w:rPr>
        <w:t>本文件由</w:t>
      </w:r>
      <w:r>
        <w:t>全国农业技术推广服务中心</w:t>
      </w:r>
      <w:r>
        <w:rPr>
          <w:rFonts w:hint="eastAsia"/>
        </w:rPr>
        <w:t>提出。</w:t>
      </w:r>
    </w:p>
    <w:p w14:paraId="4717408C">
      <w:pPr>
        <w:pStyle w:val="57"/>
        <w:ind w:firstLine="420"/>
      </w:pPr>
      <w:r>
        <w:rPr>
          <w:rFonts w:hint="eastAsia"/>
        </w:rPr>
        <w:t>本文件由</w:t>
      </w:r>
      <w:r>
        <w:t>中国苹果产业协会</w:t>
      </w:r>
      <w:r>
        <w:rPr>
          <w:rFonts w:hint="eastAsia"/>
        </w:rPr>
        <w:t>归口。</w:t>
      </w:r>
    </w:p>
    <w:p w14:paraId="5DB33FCE">
      <w:pPr>
        <w:pStyle w:val="57"/>
        <w:ind w:firstLine="420"/>
        <w:rPr>
          <w:rFonts w:hint="eastAsia"/>
        </w:rPr>
      </w:pPr>
      <w:r>
        <w:rPr>
          <w:rFonts w:hint="eastAsia"/>
        </w:rPr>
        <w:t>本文件起草单位：</w:t>
      </w:r>
    </w:p>
    <w:p w14:paraId="6777011D">
      <w:pPr>
        <w:pStyle w:val="57"/>
        <w:ind w:firstLine="420"/>
      </w:pPr>
      <w:r>
        <w:rPr>
          <w:rFonts w:hint="eastAsia"/>
        </w:rPr>
        <w:t>本文件主要起草人：</w:t>
      </w:r>
      <w:bookmarkStart w:id="76" w:name="_GoBack"/>
      <w:bookmarkEnd w:id="76"/>
    </w:p>
    <w:p w14:paraId="535BB298">
      <w:pPr>
        <w:pStyle w:val="57"/>
        <w:ind w:firstLine="420"/>
      </w:pPr>
    </w:p>
    <w:p w14:paraId="1F97D21A">
      <w:pPr>
        <w:pStyle w:val="57"/>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p>
    <w:bookmarkEnd w:id="21"/>
    <w:p w14:paraId="03B96674">
      <w:pPr>
        <w:spacing w:line="20" w:lineRule="exact"/>
        <w:jc w:val="center"/>
        <w:rPr>
          <w:rFonts w:ascii="黑体" w:hAnsi="黑体" w:eastAsia="黑体"/>
          <w:sz w:val="32"/>
          <w:szCs w:val="32"/>
        </w:rPr>
      </w:pPr>
      <w:bookmarkStart w:id="22" w:name="BookMark4"/>
    </w:p>
    <w:p w14:paraId="13774F88">
      <w:pPr>
        <w:spacing w:line="20" w:lineRule="exact"/>
        <w:jc w:val="center"/>
        <w:rPr>
          <w:rFonts w:ascii="黑体" w:hAnsi="黑体" w:eastAsia="黑体"/>
          <w:sz w:val="32"/>
          <w:szCs w:val="32"/>
        </w:rPr>
      </w:pPr>
    </w:p>
    <w:sdt>
      <w:sdtPr>
        <w:tag w:val="NEW_STAND_NAME"/>
        <w:id w:val="595910757"/>
        <w:lock w:val="sdtLocked"/>
        <w:placeholder>
          <w:docPart w:val="E840614E654145D5BC7E1B1AEA287D34"/>
        </w:placeholder>
      </w:sdtPr>
      <w:sdtEndPr>
        <w:rPr>
          <w:rFonts w:hint="default" w:ascii="Times New Roman" w:hAnsi="Times New Roman" w:cs="Times New Roman"/>
        </w:rPr>
      </w:sdtEndPr>
      <w:sdtContent>
        <w:p w14:paraId="4333B903">
          <w:pPr>
            <w:pStyle w:val="178"/>
            <w:bidi w:val="0"/>
            <w:spacing w:before="313" w:beforeLines="100" w:after="687" w:afterLines="220"/>
            <w:rPr>
              <w:rFonts w:hint="default" w:ascii="Times New Roman" w:hAnsi="Times New Roman" w:cs="Times New Roman"/>
            </w:rPr>
          </w:pPr>
          <w:bookmarkStart w:id="23" w:name="NEW_STAND_NAME"/>
          <w:r>
            <w:rPr>
              <w:rFonts w:hint="default" w:ascii="Times New Roman" w:hAnsi="Times New Roman" w:cs="Times New Roman"/>
              <w:lang w:eastAsia="zh-CN"/>
            </w:rPr>
            <w:t>花牛苹果等级和规格</w:t>
          </w:r>
        </w:p>
      </w:sdtContent>
    </w:sdt>
    <w:bookmarkEnd w:id="23"/>
    <w:p w14:paraId="74267FD7">
      <w:pPr>
        <w:pStyle w:val="105"/>
        <w:spacing w:before="240" w:after="240"/>
        <w:rPr>
          <w:rFonts w:hint="default" w:ascii="Times New Roman" w:hAnsi="Times New Roman" w:eastAsia="宋体" w:cs="Times New Roman"/>
          <w:sz w:val="21"/>
          <w:lang w:val="en-US" w:eastAsia="zh-CN" w:bidi="ar-SA"/>
        </w:rPr>
      </w:pPr>
      <w:bookmarkStart w:id="24" w:name="_Toc19992"/>
      <w:bookmarkStart w:id="25" w:name="_Toc16436"/>
      <w:bookmarkStart w:id="26" w:name="_Toc23181"/>
      <w:bookmarkStart w:id="27" w:name="_Toc97191423"/>
      <w:bookmarkStart w:id="28" w:name="_Toc97192964"/>
      <w:bookmarkStart w:id="29" w:name="_Toc26648465"/>
      <w:bookmarkStart w:id="30" w:name="_Toc17233333"/>
      <w:bookmarkStart w:id="31" w:name="_Toc26718930"/>
      <w:bookmarkStart w:id="32" w:name="_Toc26986530"/>
      <w:bookmarkStart w:id="33" w:name="_Toc17233325"/>
      <w:bookmarkStart w:id="34" w:name="_Toc26986771"/>
      <w:bookmarkStart w:id="35" w:name="_Toc24884218"/>
      <w:bookmarkStart w:id="36" w:name="_Toc24884211"/>
      <w:r>
        <w:rPr>
          <w:rFonts w:hint="default" w:ascii="Times New Roman" w:hAnsi="Times New Roman" w:eastAsia="宋体" w:cs="Times New Roman"/>
          <w:sz w:val="21"/>
          <w:lang w:val="en-US" w:eastAsia="zh-CN" w:bidi="ar-SA"/>
        </w:rPr>
        <w:t>范围</w:t>
      </w:r>
      <w:bookmarkEnd w:id="24"/>
      <w:bookmarkEnd w:id="25"/>
      <w:bookmarkEnd w:id="26"/>
      <w:bookmarkEnd w:id="27"/>
    </w:p>
    <w:p w14:paraId="0571D83D">
      <w:pPr>
        <w:pStyle w:val="57"/>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本文件规定了花牛苹果的分级要求、规格、卫生指标、容许度、检验方法、检验规则</w:t>
      </w:r>
      <w:r>
        <w:rPr>
          <w:rFonts w:hint="eastAsia" w:cs="Times New Roman"/>
          <w:sz w:val="21"/>
          <w:lang w:val="en-US" w:eastAsia="zh-CN" w:bidi="ar-SA"/>
        </w:rPr>
        <w:t>的</w:t>
      </w:r>
      <w:r>
        <w:rPr>
          <w:rFonts w:hint="default" w:ascii="Times New Roman" w:hAnsi="Times New Roman" w:eastAsia="宋体" w:cs="Times New Roman"/>
          <w:sz w:val="21"/>
          <w:lang w:val="en-US" w:eastAsia="zh-CN" w:bidi="ar-SA"/>
        </w:rPr>
        <w:t xml:space="preserve">要求。 </w:t>
      </w:r>
    </w:p>
    <w:p w14:paraId="17B18929">
      <w:pPr>
        <w:pStyle w:val="57"/>
        <w:rPr>
          <w:rFonts w:hint="default" w:ascii="Times New Roman" w:hAnsi="Times New Roman" w:eastAsia="宋体" w:cs="Times New Roman"/>
          <w:sz w:val="21"/>
          <w:lang w:val="en-US" w:eastAsia="zh-CN" w:bidi="ar-SA"/>
        </w:rPr>
      </w:pPr>
      <w:r>
        <w:rPr>
          <w:rFonts w:hint="eastAsia"/>
          <w:lang w:eastAsia="zh-CN"/>
        </w:rPr>
        <w:t>本文件适用于符合中国卫生安全要求的花牛苹果。</w:t>
      </w:r>
    </w:p>
    <w:p w14:paraId="0EB26428">
      <w:pPr>
        <w:pStyle w:val="57"/>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本文件适用于鲜食花牛苹果的生产、收购、贮藏、运输与销售。</w:t>
      </w:r>
    </w:p>
    <w:p w14:paraId="44F8DDA4">
      <w:pPr>
        <w:pStyle w:val="105"/>
        <w:spacing w:before="240" w:after="240"/>
        <w:rPr>
          <w:rFonts w:hint="default" w:ascii="Times New Roman" w:hAnsi="Times New Roman" w:cs="Times New Roman"/>
        </w:rPr>
      </w:pPr>
      <w:bookmarkStart w:id="37" w:name="_Toc6269"/>
      <w:bookmarkStart w:id="38" w:name="_Toc25069"/>
      <w:bookmarkStart w:id="39" w:name="_Toc13647"/>
      <w:bookmarkStart w:id="40" w:name="_Toc97191424"/>
      <w:r>
        <w:rPr>
          <w:rFonts w:hint="default" w:ascii="Times New Roman" w:hAnsi="Times New Roman" w:cs="Times New Roman"/>
        </w:rPr>
        <w:t>规范性引用文件</w:t>
      </w:r>
      <w:bookmarkEnd w:id="37"/>
      <w:bookmarkEnd w:id="38"/>
      <w:bookmarkEnd w:id="39"/>
      <w:bookmarkEnd w:id="40"/>
    </w:p>
    <w:sdt>
      <w:sdtPr>
        <w:rPr>
          <w:rFonts w:hint="default" w:ascii="Times New Roman" w:hAnsi="Times New Roman" w:cs="Times New Roman"/>
        </w:rPr>
        <w:id w:val="2071066732"/>
        <w:placeholder>
          <w:docPart w:val="EF998AB1590646C3AF6DB25BB5BC3A5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14:paraId="4E6D3017">
          <w:pPr>
            <w:pStyle w:val="57"/>
            <w:ind w:firstLine="420"/>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A703373">
      <w:pPr>
        <w:pStyle w:val="57"/>
        <w:ind w:firstLine="420"/>
        <w:rPr>
          <w:rFonts w:hint="default" w:ascii="Times New Roman" w:hAnsi="Times New Roman" w:cs="Times New Roman"/>
        </w:rPr>
      </w:pPr>
      <w:r>
        <w:rPr>
          <w:rFonts w:hint="default" w:ascii="Times New Roman" w:hAnsi="Times New Roman" w:cs="Times New Roman"/>
        </w:rPr>
        <w:t>GB 2761 食品安全国家标准 食品中真菌毒素限量</w:t>
      </w:r>
    </w:p>
    <w:p w14:paraId="156AE7FA">
      <w:pPr>
        <w:pStyle w:val="57"/>
        <w:ind w:firstLine="420"/>
        <w:rPr>
          <w:rFonts w:hint="default" w:ascii="Times New Roman" w:hAnsi="Times New Roman" w:cs="Times New Roman"/>
        </w:rPr>
      </w:pPr>
      <w:r>
        <w:rPr>
          <w:rFonts w:hint="default" w:ascii="Times New Roman" w:hAnsi="Times New Roman" w:cs="Times New Roman"/>
        </w:rPr>
        <w:t>GB 2762 食品安全国家标准 食品中污染物限量</w:t>
      </w:r>
    </w:p>
    <w:p w14:paraId="7CBFD810">
      <w:pPr>
        <w:pStyle w:val="57"/>
        <w:ind w:firstLine="420"/>
        <w:rPr>
          <w:rFonts w:hint="default" w:ascii="Times New Roman" w:hAnsi="Times New Roman" w:cs="Times New Roman"/>
        </w:rPr>
      </w:pPr>
      <w:r>
        <w:rPr>
          <w:rFonts w:hint="default" w:ascii="Times New Roman" w:hAnsi="Times New Roman" w:cs="Times New Roman"/>
        </w:rPr>
        <w:t>GB 2763 食品安全国家标准 食品中农药最大残留限量</w:t>
      </w:r>
    </w:p>
    <w:p w14:paraId="587EE13D">
      <w:pPr>
        <w:pStyle w:val="57"/>
        <w:ind w:firstLine="420"/>
        <w:rPr>
          <w:rFonts w:hint="default" w:ascii="Times New Roman" w:hAnsi="Times New Roman" w:cs="Times New Roman"/>
        </w:rPr>
      </w:pPr>
      <w:r>
        <w:rPr>
          <w:rFonts w:hint="default" w:ascii="Times New Roman" w:hAnsi="Times New Roman" w:cs="Times New Roman"/>
        </w:rPr>
        <w:t>GB/T 5009.38 蔬菜、水果卫生标准的分析方法</w:t>
      </w:r>
    </w:p>
    <w:p w14:paraId="7AAA7970">
      <w:pPr>
        <w:pStyle w:val="57"/>
        <w:ind w:firstLine="420"/>
        <w:rPr>
          <w:rFonts w:hint="default" w:ascii="Times New Roman" w:hAnsi="Times New Roman" w:cs="Times New Roman"/>
        </w:rPr>
      </w:pPr>
      <w:r>
        <w:rPr>
          <w:rFonts w:hint="default" w:ascii="Times New Roman" w:hAnsi="Times New Roman" w:cs="Times New Roman"/>
        </w:rPr>
        <w:t>GB 7718 预包装食品标签通则</w:t>
      </w:r>
    </w:p>
    <w:p w14:paraId="4F3FDC20">
      <w:pPr>
        <w:pStyle w:val="57"/>
        <w:ind w:firstLine="420"/>
        <w:rPr>
          <w:rFonts w:hint="default" w:ascii="Times New Roman" w:hAnsi="Times New Roman" w:cs="Times New Roman"/>
        </w:rPr>
      </w:pPr>
      <w:r>
        <w:rPr>
          <w:rFonts w:hint="default" w:ascii="Times New Roman" w:hAnsi="Times New Roman" w:cs="Times New Roman"/>
        </w:rPr>
        <w:t>GB/T 8855 新鲜果蔬取样方法</w:t>
      </w:r>
    </w:p>
    <w:p w14:paraId="13DA049E">
      <w:pPr>
        <w:pStyle w:val="57"/>
        <w:ind w:firstLine="420"/>
        <w:rPr>
          <w:rFonts w:hint="default" w:ascii="Times New Roman" w:hAnsi="Times New Roman" w:cs="Times New Roman"/>
        </w:rPr>
      </w:pPr>
      <w:r>
        <w:rPr>
          <w:rFonts w:hint="default" w:ascii="Times New Roman" w:hAnsi="Times New Roman" w:cs="Times New Roman"/>
        </w:rPr>
        <w:t>GB/T 10651 鲜苹果</w:t>
      </w:r>
    </w:p>
    <w:p w14:paraId="57980038">
      <w:pPr>
        <w:pStyle w:val="57"/>
        <w:ind w:firstLine="420"/>
        <w:rPr>
          <w:rFonts w:hint="default" w:ascii="Times New Roman" w:hAnsi="Times New Roman" w:cs="Times New Roman"/>
        </w:rPr>
      </w:pPr>
      <w:r>
        <w:rPr>
          <w:rFonts w:hint="default" w:ascii="Times New Roman" w:hAnsi="Times New Roman" w:cs="Times New Roman"/>
        </w:rPr>
        <w:t>GB/T 13607 苹果、柑桔包装</w:t>
      </w:r>
    </w:p>
    <w:p w14:paraId="1CAC7BBB">
      <w:pPr>
        <w:pStyle w:val="57"/>
        <w:ind w:firstLine="420"/>
        <w:rPr>
          <w:rFonts w:hint="default" w:ascii="Times New Roman" w:hAnsi="Times New Roman" w:cs="Times New Roman"/>
        </w:rPr>
      </w:pPr>
      <w:r>
        <w:rPr>
          <w:rFonts w:hint="default" w:ascii="Times New Roman" w:hAnsi="Times New Roman" w:cs="Times New Roman"/>
        </w:rPr>
        <w:t>NY/T 391 绿色食品 产地环境质量</w:t>
      </w:r>
    </w:p>
    <w:p w14:paraId="472B300F">
      <w:pPr>
        <w:pStyle w:val="57"/>
        <w:ind w:firstLine="420"/>
        <w:rPr>
          <w:rFonts w:hint="default" w:ascii="Times New Roman" w:hAnsi="Times New Roman" w:cs="Times New Roman"/>
        </w:rPr>
      </w:pPr>
      <w:r>
        <w:rPr>
          <w:rFonts w:hint="default" w:ascii="Times New Roman" w:hAnsi="Times New Roman" w:cs="Times New Roman"/>
        </w:rPr>
        <w:t>NY/T 393 绿色食品 农药使用准则</w:t>
      </w:r>
    </w:p>
    <w:p w14:paraId="340FAEDD">
      <w:pPr>
        <w:pStyle w:val="57"/>
        <w:ind w:firstLine="420"/>
        <w:rPr>
          <w:rFonts w:hint="default" w:ascii="Times New Roman" w:hAnsi="Times New Roman" w:cs="Times New Roman"/>
        </w:rPr>
      </w:pPr>
      <w:r>
        <w:rPr>
          <w:rFonts w:hint="default" w:ascii="Times New Roman" w:hAnsi="Times New Roman" w:cs="Times New Roman"/>
        </w:rPr>
        <w:t>NY/T 394 绿色食品 肥料使用准则</w:t>
      </w:r>
    </w:p>
    <w:p w14:paraId="19DCE41F">
      <w:pPr>
        <w:pStyle w:val="57"/>
        <w:ind w:firstLine="420"/>
        <w:rPr>
          <w:rFonts w:hint="default" w:ascii="Times New Roman" w:hAnsi="Times New Roman" w:cs="Times New Roman"/>
        </w:rPr>
      </w:pPr>
      <w:r>
        <w:rPr>
          <w:rFonts w:hint="default" w:ascii="Times New Roman" w:hAnsi="Times New Roman" w:cs="Times New Roman"/>
        </w:rPr>
        <w:t>NY/T 983 苹果采收与贮运技术规范</w:t>
      </w:r>
    </w:p>
    <w:p w14:paraId="7A309A00">
      <w:pPr>
        <w:pStyle w:val="105"/>
        <w:spacing w:before="240" w:after="240"/>
        <w:rPr>
          <w:rFonts w:hint="default" w:ascii="Times New Roman" w:hAnsi="Times New Roman" w:cs="Times New Roman"/>
        </w:rPr>
      </w:pPr>
      <w:bookmarkStart w:id="41" w:name="_Toc97191425"/>
      <w:bookmarkStart w:id="42" w:name="_Toc18758"/>
      <w:bookmarkStart w:id="43" w:name="_Toc2947"/>
      <w:bookmarkStart w:id="44" w:name="_Toc4655"/>
      <w:r>
        <w:rPr>
          <w:rFonts w:hint="default" w:ascii="Times New Roman" w:hAnsi="Times New Roman" w:cs="Times New Roman"/>
          <w:szCs w:val="21"/>
        </w:rPr>
        <w:t>术语和定义</w:t>
      </w:r>
      <w:bookmarkEnd w:id="41"/>
      <w:bookmarkEnd w:id="42"/>
      <w:bookmarkEnd w:id="43"/>
      <w:bookmarkEnd w:id="44"/>
    </w:p>
    <w:sdt>
      <w:sdtPr>
        <w:rPr>
          <w:rFonts w:hint="default" w:ascii="Times New Roman" w:hAnsi="Times New Roman" w:cs="Times New Roman"/>
        </w:rPr>
        <w:id w:val="-1"/>
        <w:placeholder>
          <w:docPart w:val="B0A6F8C892FD417D8E1DADBB4D22B1C7"/>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default" w:ascii="Times New Roman" w:hAnsi="Times New Roman" w:cs="Times New Roman"/>
        </w:rPr>
      </w:sdtEndPr>
      <w:sdtContent>
        <w:p w14:paraId="27F8CA8A">
          <w:pPr>
            <w:pStyle w:val="57"/>
            <w:ind w:firstLine="420"/>
            <w:rPr>
              <w:rFonts w:hint="default" w:ascii="Times New Roman" w:hAnsi="Times New Roman" w:cs="Times New Roman"/>
            </w:rPr>
          </w:pPr>
          <w:r>
            <w:rPr>
              <w:rFonts w:hint="default" w:ascii="Times New Roman" w:hAnsi="Times New Roman" w:cs="Times New Roman"/>
            </w:rPr>
            <w:t>下列术语和定义适用于本文件。</w:t>
          </w:r>
        </w:p>
      </w:sdtContent>
    </w:sdt>
    <w:p w14:paraId="65743B6B">
      <w:pPr>
        <w:pStyle w:val="57"/>
        <w:ind w:firstLine="420"/>
        <w:rPr>
          <w:rFonts w:hint="default" w:ascii="Times New Roman" w:hAnsi="Times New Roman" w:cs="Times New Roman"/>
        </w:rPr>
      </w:pPr>
    </w:p>
    <w:p w14:paraId="712FD39F">
      <w:pPr>
        <w:pStyle w:val="224"/>
        <w:ind w:left="420" w:hanging="420" w:hangingChars="200"/>
        <w:rPr>
          <w:rFonts w:hint="default" w:ascii="Times New Roman" w:hAnsi="Times New Roman" w:eastAsia="黑体" w:cs="Times New Roman"/>
        </w:rPr>
      </w:pPr>
      <w:r>
        <w:rPr>
          <w:rFonts w:hint="default" w:ascii="Times New Roman" w:hAnsi="Times New Roman" w:eastAsia="黑体" w:cs="Times New Roman"/>
        </w:rPr>
        <w:br w:type="textWrapping"/>
      </w:r>
      <w:r>
        <w:rPr>
          <w:rFonts w:hint="default" w:ascii="Times New Roman" w:hAnsi="Times New Roman" w:eastAsia="黑体" w:cs="Times New Roman"/>
        </w:rPr>
        <w:t>果形  fruit form</w:t>
      </w:r>
    </w:p>
    <w:p w14:paraId="61EA55E5">
      <w:pPr>
        <w:pStyle w:val="57"/>
        <w:ind w:firstLine="420"/>
        <w:rPr>
          <w:rFonts w:hint="default" w:ascii="Times New Roman" w:hAnsi="Times New Roman" w:cs="Times New Roman"/>
        </w:rPr>
      </w:pPr>
      <w:r>
        <w:rPr>
          <w:rFonts w:hint="default" w:ascii="Times New Roman" w:hAnsi="Times New Roman" w:cs="Times New Roman"/>
          <w:szCs w:val="21"/>
        </w:rPr>
        <w:t>果实形状。</w:t>
      </w:r>
    </w:p>
    <w:p w14:paraId="0500CE06">
      <w:pPr>
        <w:pStyle w:val="224"/>
        <w:ind w:left="420" w:hanging="420" w:hangingChars="200"/>
        <w:rPr>
          <w:rFonts w:hint="default" w:ascii="Times New Roman" w:hAnsi="Times New Roman" w:eastAsia="黑体" w:cs="Times New Roman"/>
          <w:bCs/>
        </w:rPr>
      </w:pPr>
      <w:r>
        <w:rPr>
          <w:rFonts w:hint="default" w:ascii="Times New Roman" w:hAnsi="Times New Roman" w:eastAsia="黑体" w:cs="Times New Roman"/>
        </w:rPr>
        <w:br w:type="textWrapping"/>
      </w:r>
      <w:r>
        <w:rPr>
          <w:rFonts w:hint="default" w:ascii="Times New Roman" w:hAnsi="Times New Roman" w:eastAsia="黑体" w:cs="Times New Roman"/>
          <w:bCs/>
          <w:szCs w:val="21"/>
        </w:rPr>
        <w:t xml:space="preserve">果形指数  </w:t>
      </w:r>
      <w:r>
        <w:rPr>
          <w:rFonts w:hint="default" w:ascii="Times New Roman" w:hAnsi="Times New Roman" w:eastAsia="黑体" w:cs="Times New Roman"/>
          <w:bCs/>
        </w:rPr>
        <w:t>fruit shape index</w:t>
      </w:r>
    </w:p>
    <w:p w14:paraId="0A13D651">
      <w:pPr>
        <w:pStyle w:val="57"/>
        <w:ind w:firstLine="420"/>
        <w:rPr>
          <w:rFonts w:hint="default" w:ascii="Times New Roman" w:hAnsi="Times New Roman" w:cs="Times New Roman"/>
        </w:rPr>
      </w:pPr>
      <w:r>
        <w:rPr>
          <w:rFonts w:hint="default" w:ascii="Times New Roman" w:hAnsi="Times New Roman" w:cs="Times New Roman"/>
          <w:szCs w:val="21"/>
        </w:rPr>
        <w:t>果实纵径与横径的比值。</w:t>
      </w:r>
    </w:p>
    <w:p w14:paraId="179B7CCE">
      <w:pPr>
        <w:pStyle w:val="225"/>
        <w:ind w:left="420" w:hanging="420" w:hangingChars="200"/>
        <w:rPr>
          <w:rFonts w:hint="default" w:ascii="Times New Roman" w:hAnsi="Times New Roman" w:eastAsia="黑体" w:cs="Times New Roman"/>
          <w:bCs/>
        </w:rPr>
      </w:pPr>
      <w:r>
        <w:rPr>
          <w:rFonts w:hint="default" w:ascii="Times New Roman" w:hAnsi="Times New Roman" w:eastAsia="黑体" w:cs="Times New Roman"/>
        </w:rPr>
        <w:br w:type="textWrapping"/>
      </w:r>
      <w:r>
        <w:rPr>
          <w:rFonts w:hint="default" w:ascii="Times New Roman" w:hAnsi="Times New Roman" w:eastAsia="黑体" w:cs="Times New Roman"/>
          <w:bCs/>
        </w:rPr>
        <w:t>横径  fruit equatorial diameter</w:t>
      </w:r>
    </w:p>
    <w:p w14:paraId="1D69AEDA">
      <w:pPr>
        <w:pStyle w:val="57"/>
        <w:ind w:firstLine="420"/>
        <w:rPr>
          <w:rFonts w:hint="default" w:ascii="Times New Roman" w:hAnsi="Times New Roman" w:cs="Times New Roman"/>
        </w:rPr>
      </w:pPr>
      <w:r>
        <w:rPr>
          <w:rFonts w:hint="default" w:ascii="Times New Roman" w:hAnsi="Times New Roman" w:cs="Times New Roman"/>
          <w:szCs w:val="21"/>
        </w:rPr>
        <w:t>果实最大横切面的直径。</w:t>
      </w:r>
    </w:p>
    <w:p w14:paraId="08990A4E">
      <w:pPr>
        <w:pStyle w:val="225"/>
        <w:ind w:left="420" w:hanging="420" w:hangingChars="200"/>
        <w:rPr>
          <w:rFonts w:hint="default" w:ascii="Times New Roman" w:hAnsi="Times New Roman" w:eastAsia="黑体" w:cs="Times New Roman"/>
          <w:bCs/>
        </w:rPr>
      </w:pPr>
      <w:r>
        <w:rPr>
          <w:rFonts w:hint="default" w:ascii="Times New Roman" w:hAnsi="Times New Roman" w:eastAsia="黑体" w:cs="Times New Roman"/>
        </w:rPr>
        <w:br w:type="textWrapping"/>
      </w:r>
      <w:r>
        <w:rPr>
          <w:rFonts w:hint="default" w:ascii="Times New Roman" w:hAnsi="Times New Roman" w:eastAsia="黑体" w:cs="Times New Roman"/>
          <w:bCs/>
        </w:rPr>
        <w:t>纵径  fruit longitudinal diameter</w:t>
      </w:r>
    </w:p>
    <w:p w14:paraId="1840CCE8">
      <w:pPr>
        <w:pStyle w:val="57"/>
        <w:ind w:firstLine="420"/>
        <w:rPr>
          <w:rFonts w:hint="default" w:ascii="Times New Roman" w:hAnsi="Times New Roman" w:cs="Times New Roman"/>
          <w:szCs w:val="21"/>
        </w:rPr>
      </w:pPr>
      <w:r>
        <w:rPr>
          <w:rFonts w:hint="default" w:ascii="Times New Roman" w:hAnsi="Times New Roman" w:cs="Times New Roman"/>
          <w:szCs w:val="21"/>
        </w:rPr>
        <w:t>果实顶部至果蒂的直线距离。</w:t>
      </w:r>
    </w:p>
    <w:p w14:paraId="7B99C7AE">
      <w:pPr>
        <w:pStyle w:val="224"/>
        <w:ind w:left="420" w:hanging="420" w:hangingChars="200"/>
        <w:rPr>
          <w:rFonts w:hint="default" w:ascii="Times New Roman" w:hAnsi="Times New Roman" w:cs="Times New Roman"/>
          <w:b/>
          <w:bCs/>
          <w:color w:val="000000"/>
          <w:szCs w:val="21"/>
        </w:rPr>
      </w:pPr>
      <w:r>
        <w:rPr>
          <w:rFonts w:hint="default" w:ascii="Times New Roman" w:hAnsi="Times New Roman" w:eastAsia="黑体" w:cs="Times New Roman"/>
        </w:rPr>
        <w:br w:type="textWrapping"/>
      </w:r>
      <w:r>
        <w:rPr>
          <w:rFonts w:hint="default" w:ascii="Times New Roman" w:hAnsi="Times New Roman" w:eastAsia="黑体" w:cs="Times New Roman"/>
          <w:bCs/>
          <w:color w:val="000000"/>
        </w:rPr>
        <w:t>果面缺陷</w:t>
      </w:r>
      <w:r>
        <w:rPr>
          <w:rFonts w:hint="default" w:ascii="Times New Roman" w:hAnsi="Times New Roman" w:cs="Times New Roman"/>
          <w:b/>
          <w:bCs/>
          <w:color w:val="000000"/>
          <w:szCs w:val="21"/>
        </w:rPr>
        <w:t xml:space="preserve"> </w:t>
      </w:r>
      <w:r>
        <w:rPr>
          <w:rFonts w:hint="default" w:ascii="Times New Roman" w:hAnsi="Times New Roman" w:eastAsia="黑体" w:cs="Times New Roman"/>
          <w:bCs/>
          <w:color w:val="000000"/>
        </w:rPr>
        <w:t xml:space="preserve"> superficial defects</w:t>
      </w:r>
    </w:p>
    <w:p w14:paraId="068274C5">
      <w:pPr>
        <w:pStyle w:val="57"/>
        <w:ind w:firstLine="420"/>
        <w:rPr>
          <w:rFonts w:hint="default" w:ascii="Times New Roman" w:hAnsi="Times New Roman" w:cs="Times New Roman"/>
        </w:rPr>
      </w:pPr>
      <w:r>
        <w:rPr>
          <w:rFonts w:hint="default" w:ascii="Times New Roman" w:hAnsi="Times New Roman" w:cs="Times New Roman"/>
          <w:color w:val="000000"/>
          <w:szCs w:val="21"/>
        </w:rPr>
        <w:t>由于自然因素或人为机械的作用，如：雹伤、裂纹、日灼、虫伤、病果、果锈、刺伤、碰压伤、磨伤等对果实表面造成的各项损伤。</w:t>
      </w:r>
    </w:p>
    <w:p w14:paraId="1C8A4399">
      <w:pPr>
        <w:pStyle w:val="57"/>
        <w:rPr>
          <w:rFonts w:hint="default" w:ascii="Times New Roman" w:hAnsi="Times New Roman" w:cs="Times New Roman"/>
        </w:rPr>
      </w:pPr>
      <w:r>
        <w:rPr>
          <w:rFonts w:hint="default" w:ascii="Times New Roman" w:hAnsi="Times New Roman" w:cs="Times New Roman"/>
        </w:rPr>
        <w:t>‌</w:t>
      </w:r>
    </w:p>
    <w:p w14:paraId="1C04265F">
      <w:pPr>
        <w:pStyle w:val="105"/>
        <w:spacing w:before="240" w:after="240"/>
        <w:rPr>
          <w:rFonts w:hint="default" w:ascii="Times New Roman" w:hAnsi="Times New Roman" w:cs="Times New Roman"/>
        </w:rPr>
      </w:pPr>
      <w:bookmarkStart w:id="45" w:name="_Toc15285"/>
      <w:bookmarkStart w:id="46" w:name="_Toc7473"/>
      <w:bookmarkStart w:id="47" w:name="_Toc20774"/>
      <w:r>
        <w:rPr>
          <w:rFonts w:hint="default" w:ascii="Times New Roman" w:hAnsi="Times New Roman" w:cs="Times New Roman"/>
          <w:lang w:eastAsia="zh-CN"/>
        </w:rPr>
        <w:t>等级和规格</w:t>
      </w:r>
      <w:r>
        <w:rPr>
          <w:rFonts w:hint="default" w:ascii="Times New Roman" w:hAnsi="Times New Roman" w:cs="Times New Roman"/>
        </w:rPr>
        <w:t>要求</w:t>
      </w:r>
      <w:bookmarkEnd w:id="45"/>
      <w:bookmarkEnd w:id="46"/>
      <w:bookmarkEnd w:id="47"/>
    </w:p>
    <w:p w14:paraId="270E0A16">
      <w:pPr>
        <w:pStyle w:val="26"/>
        <w:spacing w:before="0" w:after="0"/>
        <w:jc w:val="both"/>
        <w:rPr>
          <w:rFonts w:hint="default" w:ascii="Times New Roman" w:hAnsi="Times New Roman" w:eastAsia="黑体" w:cs="Times New Roman"/>
          <w:b w:val="0"/>
          <w:bCs w:val="0"/>
          <w:color w:val="000000"/>
          <w:sz w:val="21"/>
          <w:szCs w:val="21"/>
          <w:lang w:val="en-US" w:eastAsia="zh-CN"/>
        </w:rPr>
      </w:pPr>
      <w:r>
        <w:rPr>
          <w:rFonts w:hint="default" w:ascii="Times New Roman" w:hAnsi="Times New Roman" w:eastAsia="黑体" w:cs="Times New Roman"/>
          <w:b w:val="0"/>
          <w:bCs w:val="0"/>
          <w:color w:val="000000"/>
          <w:sz w:val="21"/>
          <w:szCs w:val="21"/>
          <w:lang w:val="en-US" w:eastAsia="zh-CN"/>
        </w:rPr>
        <w:t>4.1 等级要求</w:t>
      </w:r>
    </w:p>
    <w:p w14:paraId="1B78777A">
      <w:pPr>
        <w:pStyle w:val="57"/>
        <w:ind w:firstLine="420"/>
        <w:rPr>
          <w:rFonts w:hint="default" w:ascii="Times New Roman" w:hAnsi="Times New Roman" w:cs="Times New Roman"/>
          <w:color w:val="000000"/>
          <w:szCs w:val="21"/>
        </w:rPr>
      </w:pPr>
      <w:r>
        <w:rPr>
          <w:rFonts w:hint="default" w:ascii="Times New Roman" w:hAnsi="Times New Roman" w:cs="Times New Roman"/>
          <w:color w:val="000000"/>
          <w:szCs w:val="21"/>
        </w:rPr>
        <w:t>花牛苹果等级分为特级、一级、二级，各等级要求应符合表1的规定。</w:t>
      </w:r>
    </w:p>
    <w:p w14:paraId="6B7A1851">
      <w:pPr>
        <w:pStyle w:val="114"/>
        <w:widowControl/>
        <w:numPr>
          <w:ilvl w:val="0"/>
          <w:numId w:val="16"/>
        </w:numPr>
        <w:tabs>
          <w:tab w:val="left" w:pos="0"/>
          <w:tab w:val="clear" w:pos="4678"/>
          <w:tab w:val="clear" w:pos="9356"/>
        </w:tabs>
        <w:adjustRightInd/>
        <w:spacing w:before="120" w:beforeLines="50" w:after="120" w:afterLines="50" w:line="278" w:lineRule="auto"/>
        <w:jc w:val="center"/>
        <w:rPr>
          <w:rFonts w:hint="default" w:ascii="Times New Roman" w:hAnsi="Times New Roman" w:cs="Times New Roman"/>
          <w:color w:val="000000"/>
          <w:sz w:val="20"/>
        </w:rPr>
      </w:pPr>
      <w:r>
        <w:rPr>
          <w:rFonts w:hint="default" w:ascii="Times New Roman" w:hAnsi="Times New Roman" w:cs="Times New Roman"/>
          <w:color w:val="000000"/>
          <w:sz w:val="20"/>
        </w:rPr>
        <w:t>等级要求</w:t>
      </w:r>
    </w:p>
    <w:tbl>
      <w:tblPr>
        <w:tblStyle w:val="27"/>
        <w:tblpPr w:leftFromText="180" w:rightFromText="180" w:vertAnchor="text" w:tblpY="1"/>
        <w:tblOverlap w:val="never"/>
        <w:tblW w:w="8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410"/>
        <w:gridCol w:w="2410"/>
        <w:gridCol w:w="2270"/>
      </w:tblGrid>
      <w:tr w14:paraId="5B6AB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vMerge w:val="restart"/>
            <w:tcBorders>
              <w:top w:val="single" w:color="auto" w:sz="4" w:space="0"/>
              <w:left w:val="single" w:color="auto" w:sz="4" w:space="0"/>
              <w:bottom w:val="single" w:color="auto" w:sz="4" w:space="0"/>
              <w:right w:val="single" w:color="auto" w:sz="4" w:space="0"/>
            </w:tcBorders>
            <w:vAlign w:val="center"/>
          </w:tcPr>
          <w:p w14:paraId="04FE195F">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项目</w:t>
            </w:r>
          </w:p>
        </w:tc>
        <w:tc>
          <w:tcPr>
            <w:tcW w:w="7090" w:type="dxa"/>
            <w:gridSpan w:val="3"/>
            <w:tcBorders>
              <w:top w:val="single" w:color="auto" w:sz="4" w:space="0"/>
              <w:left w:val="nil"/>
              <w:bottom w:val="single" w:color="auto" w:sz="4" w:space="0"/>
              <w:right w:val="single" w:color="auto" w:sz="4" w:space="0"/>
            </w:tcBorders>
            <w:vAlign w:val="center"/>
          </w:tcPr>
          <w:p w14:paraId="053D3DBC">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等级</w:t>
            </w:r>
          </w:p>
        </w:tc>
      </w:tr>
      <w:tr w14:paraId="0DEC4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vMerge w:val="continue"/>
            <w:tcBorders>
              <w:top w:val="single" w:color="auto" w:sz="4" w:space="0"/>
              <w:left w:val="single" w:color="auto" w:sz="4" w:space="0"/>
              <w:bottom w:val="single" w:color="auto" w:sz="4" w:space="0"/>
              <w:right w:val="single" w:color="auto" w:sz="4" w:space="0"/>
            </w:tcBorders>
            <w:vAlign w:val="center"/>
          </w:tcPr>
          <w:p w14:paraId="744F3E6E">
            <w:pPr>
              <w:widowControl/>
              <w:jc w:val="left"/>
              <w:rPr>
                <w:rFonts w:hint="default" w:ascii="Times New Roman" w:hAnsi="Times New Roman" w:cs="Times New Roman"/>
                <w:color w:val="000000"/>
                <w:kern w:val="0"/>
                <w:sz w:val="20"/>
                <w:szCs w:val="20"/>
              </w:rPr>
            </w:pPr>
          </w:p>
        </w:tc>
        <w:tc>
          <w:tcPr>
            <w:tcW w:w="2410" w:type="dxa"/>
            <w:tcBorders>
              <w:top w:val="single" w:color="auto" w:sz="4" w:space="0"/>
              <w:left w:val="nil"/>
              <w:bottom w:val="single" w:color="auto" w:sz="4" w:space="0"/>
              <w:right w:val="single" w:color="auto" w:sz="4" w:space="0"/>
            </w:tcBorders>
            <w:vAlign w:val="center"/>
          </w:tcPr>
          <w:p w14:paraId="39EAD784">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特级</w:t>
            </w:r>
          </w:p>
        </w:tc>
        <w:tc>
          <w:tcPr>
            <w:tcW w:w="2410" w:type="dxa"/>
            <w:tcBorders>
              <w:top w:val="single" w:color="auto" w:sz="4" w:space="0"/>
              <w:left w:val="nil"/>
              <w:bottom w:val="single" w:color="auto" w:sz="4" w:space="0"/>
              <w:right w:val="single" w:color="auto" w:sz="4" w:space="0"/>
            </w:tcBorders>
            <w:vAlign w:val="center"/>
          </w:tcPr>
          <w:p w14:paraId="545F8FD6">
            <w:pPr>
              <w:pStyle w:val="231"/>
              <w:ind w:left="252" w:hanging="252" w:hangingChars="126"/>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一级</w:t>
            </w:r>
          </w:p>
        </w:tc>
        <w:tc>
          <w:tcPr>
            <w:tcW w:w="2270" w:type="dxa"/>
            <w:tcBorders>
              <w:top w:val="single" w:color="auto" w:sz="4" w:space="0"/>
              <w:left w:val="nil"/>
              <w:bottom w:val="single" w:color="auto" w:sz="4" w:space="0"/>
              <w:right w:val="single" w:color="auto" w:sz="4" w:space="0"/>
            </w:tcBorders>
            <w:vAlign w:val="center"/>
          </w:tcPr>
          <w:p w14:paraId="75B1876A">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二级</w:t>
            </w:r>
          </w:p>
        </w:tc>
      </w:tr>
      <w:tr w14:paraId="36A36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696" w:type="dxa"/>
            <w:tcBorders>
              <w:top w:val="single" w:color="auto" w:sz="4" w:space="0"/>
              <w:left w:val="single" w:color="auto" w:sz="4" w:space="0"/>
              <w:bottom w:val="single" w:color="auto" w:sz="4" w:space="0"/>
              <w:right w:val="single" w:color="auto" w:sz="4" w:space="0"/>
            </w:tcBorders>
            <w:vAlign w:val="center"/>
          </w:tcPr>
          <w:p w14:paraId="14404BEB">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基本要求</w:t>
            </w:r>
          </w:p>
        </w:tc>
        <w:tc>
          <w:tcPr>
            <w:tcW w:w="7090" w:type="dxa"/>
            <w:gridSpan w:val="3"/>
            <w:tcBorders>
              <w:top w:val="single" w:color="auto" w:sz="4" w:space="0"/>
              <w:left w:val="nil"/>
              <w:bottom w:val="single" w:color="auto" w:sz="4" w:space="0"/>
              <w:right w:val="single" w:color="auto" w:sz="4" w:space="0"/>
            </w:tcBorders>
            <w:vAlign w:val="center"/>
          </w:tcPr>
          <w:p w14:paraId="37D11970">
            <w:pPr>
              <w:pStyle w:val="231"/>
              <w:ind w:firstLine="0" w:firstLineChars="0"/>
              <w:jc w:val="left"/>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果实新鲜、洁净；</w:t>
            </w:r>
          </w:p>
          <w:p w14:paraId="29EA2E27">
            <w:pPr>
              <w:pStyle w:val="231"/>
              <w:ind w:firstLine="0" w:firstLineChars="0"/>
              <w:jc w:val="left"/>
              <w:rPr>
                <w:rFonts w:hint="default" w:ascii="Times New Roman" w:hAnsi="Times New Roman" w:cs="Times New Roman"/>
                <w:color w:val="000000"/>
                <w:sz w:val="20"/>
                <w:szCs w:val="20"/>
                <w:highlight w:val="yellow"/>
              </w:rPr>
            </w:pPr>
            <w:r>
              <w:rPr>
                <w:rFonts w:hint="default" w:ascii="Times New Roman" w:hAnsi="Times New Roman" w:cs="Times New Roman"/>
                <w:color w:val="000000"/>
                <w:sz w:val="20"/>
                <w:szCs w:val="20"/>
              </w:rPr>
              <w:t>果形端正高桩圆锥形，果顶五棱突起明显，果形指数≥0.85；</w:t>
            </w:r>
          </w:p>
          <w:p w14:paraId="26838787">
            <w:pPr>
              <w:pStyle w:val="231"/>
              <w:ind w:firstLine="0" w:firstLineChars="0"/>
              <w:jc w:val="left"/>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无裂果、霉心、病斑、虫伤、日灼伤，无机械损伤、异味；</w:t>
            </w:r>
          </w:p>
          <w:p w14:paraId="72E78EF0">
            <w:pPr>
              <w:pStyle w:val="231"/>
              <w:ind w:firstLine="0" w:firstLineChars="0"/>
              <w:jc w:val="left"/>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具有本品种固有特征和风味，以及适于市场销售或贮存要求的成熟度。</w:t>
            </w:r>
          </w:p>
        </w:tc>
      </w:tr>
      <w:tr w14:paraId="3E01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tcBorders>
              <w:top w:val="single" w:color="auto" w:sz="4" w:space="0"/>
              <w:left w:val="single" w:color="auto" w:sz="4" w:space="0"/>
              <w:bottom w:val="single" w:color="auto" w:sz="4" w:space="0"/>
              <w:right w:val="single" w:color="auto" w:sz="4" w:space="0"/>
            </w:tcBorders>
            <w:vAlign w:val="center"/>
          </w:tcPr>
          <w:p w14:paraId="69A11C3C">
            <w:pPr>
              <w:pStyle w:val="231"/>
              <w:ind w:firstLine="0" w:firstLineChars="0"/>
              <w:jc w:val="center"/>
              <w:rPr>
                <w:rFonts w:hint="default" w:ascii="Times New Roman" w:hAnsi="Times New Roman" w:cs="Times New Roman"/>
                <w:sz w:val="20"/>
                <w:szCs w:val="20"/>
              </w:rPr>
            </w:pPr>
            <w:r>
              <w:rPr>
                <w:rFonts w:hint="default" w:ascii="Times New Roman" w:hAnsi="Times New Roman" w:cs="Times New Roman"/>
                <w:sz w:val="20"/>
                <w:szCs w:val="20"/>
              </w:rPr>
              <w:t>果形</w:t>
            </w:r>
          </w:p>
        </w:tc>
        <w:tc>
          <w:tcPr>
            <w:tcW w:w="2410" w:type="dxa"/>
            <w:tcBorders>
              <w:top w:val="single" w:color="auto" w:sz="4" w:space="0"/>
              <w:left w:val="nil"/>
              <w:bottom w:val="single" w:color="auto" w:sz="4" w:space="0"/>
              <w:right w:val="single" w:color="auto" w:sz="4" w:space="0"/>
            </w:tcBorders>
            <w:vAlign w:val="center"/>
          </w:tcPr>
          <w:p w14:paraId="0B91E28B">
            <w:pPr>
              <w:pStyle w:val="231"/>
              <w:ind w:firstLine="0" w:firstLineChars="0"/>
              <w:jc w:val="left"/>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具有本品种固有的特征，果形指数≥0.90；果梗完整。</w:t>
            </w:r>
          </w:p>
        </w:tc>
        <w:tc>
          <w:tcPr>
            <w:tcW w:w="2410" w:type="dxa"/>
            <w:tcBorders>
              <w:top w:val="single" w:color="auto" w:sz="4" w:space="0"/>
              <w:left w:val="nil"/>
              <w:bottom w:val="single" w:color="auto" w:sz="4" w:space="0"/>
              <w:right w:val="single" w:color="auto" w:sz="4" w:space="0"/>
            </w:tcBorders>
            <w:vAlign w:val="center"/>
          </w:tcPr>
          <w:p w14:paraId="5E7A20FC">
            <w:pPr>
              <w:pStyle w:val="231"/>
              <w:ind w:firstLine="0" w:firstLineChars="0"/>
              <w:jc w:val="left"/>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允许果形有轻微缺点；果梗完整。</w:t>
            </w:r>
          </w:p>
        </w:tc>
        <w:tc>
          <w:tcPr>
            <w:tcW w:w="2270" w:type="dxa"/>
            <w:tcBorders>
              <w:top w:val="single" w:color="auto" w:sz="4" w:space="0"/>
              <w:left w:val="nil"/>
              <w:bottom w:val="single" w:color="auto" w:sz="4" w:space="0"/>
              <w:right w:val="single" w:color="auto" w:sz="4" w:space="0"/>
            </w:tcBorders>
            <w:vAlign w:val="center"/>
          </w:tcPr>
          <w:p w14:paraId="35CD1751">
            <w:pPr>
              <w:pStyle w:val="231"/>
              <w:ind w:firstLine="0" w:firstLineChars="0"/>
              <w:rPr>
                <w:rFonts w:hint="default" w:ascii="Times New Roman" w:hAnsi="Times New Roman" w:cs="Times New Roman"/>
                <w:sz w:val="20"/>
                <w:szCs w:val="20"/>
              </w:rPr>
            </w:pPr>
            <w:r>
              <w:rPr>
                <w:rFonts w:hint="default" w:ascii="Times New Roman" w:hAnsi="Times New Roman" w:cs="Times New Roman"/>
                <w:sz w:val="20"/>
                <w:szCs w:val="20"/>
              </w:rPr>
              <w:t>允许果形有缺点，不得有畸形果；果梗允许轻微损伤。</w:t>
            </w:r>
          </w:p>
        </w:tc>
      </w:tr>
      <w:tr w14:paraId="0965F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tcBorders>
              <w:top w:val="single" w:color="auto" w:sz="4" w:space="0"/>
              <w:left w:val="single" w:color="auto" w:sz="4" w:space="0"/>
              <w:bottom w:val="single" w:color="auto" w:sz="4" w:space="0"/>
              <w:right w:val="single" w:color="auto" w:sz="4" w:space="0"/>
            </w:tcBorders>
            <w:vAlign w:val="center"/>
          </w:tcPr>
          <w:p w14:paraId="5F595B5E">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果面缺陷</w:t>
            </w:r>
          </w:p>
        </w:tc>
        <w:tc>
          <w:tcPr>
            <w:tcW w:w="2410" w:type="dxa"/>
            <w:tcBorders>
              <w:top w:val="single" w:color="auto" w:sz="4" w:space="0"/>
              <w:left w:val="nil"/>
              <w:bottom w:val="single" w:color="auto" w:sz="4" w:space="0"/>
              <w:right w:val="single" w:color="auto" w:sz="4" w:space="0"/>
            </w:tcBorders>
            <w:vAlign w:val="center"/>
          </w:tcPr>
          <w:p w14:paraId="57B10C7B">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无果锈、雹伤。</w:t>
            </w:r>
          </w:p>
        </w:tc>
        <w:tc>
          <w:tcPr>
            <w:tcW w:w="2410" w:type="dxa"/>
            <w:tcBorders>
              <w:top w:val="single" w:color="auto" w:sz="4" w:space="0"/>
              <w:left w:val="nil"/>
              <w:bottom w:val="single" w:color="auto" w:sz="4" w:space="0"/>
              <w:right w:val="single" w:color="auto" w:sz="4" w:space="0"/>
            </w:tcBorders>
            <w:vAlign w:val="center"/>
          </w:tcPr>
          <w:p w14:paraId="0FCCF117">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果锈面积≤0.5 cm</w:t>
            </w:r>
            <w:r>
              <w:rPr>
                <w:rFonts w:hint="default" w:ascii="Times New Roman" w:hAnsi="Times New Roman" w:cs="Times New Roman"/>
                <w:color w:val="000000"/>
                <w:sz w:val="20"/>
                <w:szCs w:val="20"/>
                <w:vertAlign w:val="superscript"/>
              </w:rPr>
              <w:t>2</w:t>
            </w:r>
            <w:r>
              <w:rPr>
                <w:rFonts w:hint="default" w:ascii="Times New Roman" w:hAnsi="Times New Roman" w:cs="Times New Roman"/>
                <w:color w:val="000000"/>
                <w:sz w:val="20"/>
                <w:szCs w:val="20"/>
              </w:rPr>
              <w:t>、无雹伤。</w:t>
            </w:r>
          </w:p>
        </w:tc>
        <w:tc>
          <w:tcPr>
            <w:tcW w:w="2270" w:type="dxa"/>
            <w:tcBorders>
              <w:top w:val="single" w:color="auto" w:sz="4" w:space="0"/>
              <w:left w:val="nil"/>
              <w:bottom w:val="single" w:color="auto" w:sz="4" w:space="0"/>
              <w:right w:val="single" w:color="auto" w:sz="4" w:space="0"/>
            </w:tcBorders>
            <w:vAlign w:val="center"/>
          </w:tcPr>
          <w:p w14:paraId="652C0A5D">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果锈面积≤2.0 cm</w:t>
            </w:r>
            <w:r>
              <w:rPr>
                <w:rFonts w:hint="default" w:ascii="Times New Roman" w:hAnsi="Times New Roman" w:cs="Times New Roman"/>
                <w:color w:val="000000"/>
                <w:sz w:val="20"/>
                <w:szCs w:val="20"/>
                <w:vertAlign w:val="superscript"/>
              </w:rPr>
              <w:t>2</w:t>
            </w:r>
            <w:r>
              <w:rPr>
                <w:rFonts w:hint="default" w:ascii="Times New Roman" w:hAnsi="Times New Roman" w:cs="Times New Roman"/>
                <w:color w:val="000000"/>
                <w:sz w:val="20"/>
                <w:szCs w:val="20"/>
              </w:rPr>
              <w:t>、雹伤面积≤0.5cm</w:t>
            </w:r>
            <w:r>
              <w:rPr>
                <w:rFonts w:hint="default" w:ascii="Times New Roman" w:hAnsi="Times New Roman" w:cs="Times New Roman"/>
                <w:color w:val="000000"/>
                <w:sz w:val="20"/>
                <w:szCs w:val="20"/>
                <w:vertAlign w:val="superscript"/>
              </w:rPr>
              <w:t>2</w:t>
            </w:r>
            <w:r>
              <w:rPr>
                <w:rFonts w:hint="default" w:ascii="Times New Roman" w:hAnsi="Times New Roman" w:cs="Times New Roman"/>
                <w:color w:val="000000"/>
                <w:sz w:val="20"/>
                <w:szCs w:val="20"/>
              </w:rPr>
              <w:t>。</w:t>
            </w:r>
          </w:p>
        </w:tc>
      </w:tr>
      <w:tr w14:paraId="0C1CF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96" w:type="dxa"/>
            <w:tcBorders>
              <w:top w:val="single" w:color="auto" w:sz="4" w:space="0"/>
              <w:left w:val="single" w:color="auto" w:sz="4" w:space="0"/>
              <w:bottom w:val="single" w:color="auto" w:sz="4" w:space="0"/>
              <w:right w:val="single" w:color="auto" w:sz="4" w:space="0"/>
            </w:tcBorders>
            <w:vAlign w:val="center"/>
          </w:tcPr>
          <w:p w14:paraId="277AE052">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着色</w:t>
            </w:r>
          </w:p>
        </w:tc>
        <w:tc>
          <w:tcPr>
            <w:tcW w:w="2410" w:type="dxa"/>
            <w:tcBorders>
              <w:top w:val="single" w:color="auto" w:sz="4" w:space="0"/>
              <w:left w:val="nil"/>
              <w:bottom w:val="single" w:color="auto" w:sz="4" w:space="0"/>
              <w:right w:val="single" w:color="auto" w:sz="4" w:space="0"/>
            </w:tcBorders>
            <w:vAlign w:val="center"/>
          </w:tcPr>
          <w:p w14:paraId="0BE13439">
            <w:pPr>
              <w:pStyle w:val="231"/>
              <w:ind w:firstLine="0" w:firstLineChars="0"/>
              <w:jc w:val="cente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≥95%</w:t>
            </w:r>
          </w:p>
        </w:tc>
        <w:tc>
          <w:tcPr>
            <w:tcW w:w="2410" w:type="dxa"/>
            <w:tcBorders>
              <w:top w:val="single" w:color="auto" w:sz="4" w:space="0"/>
              <w:left w:val="nil"/>
              <w:bottom w:val="single" w:color="auto" w:sz="4" w:space="0"/>
              <w:right w:val="single" w:color="auto" w:sz="4" w:space="0"/>
            </w:tcBorders>
            <w:vAlign w:val="center"/>
          </w:tcPr>
          <w:p w14:paraId="65F13E4B">
            <w:pPr>
              <w:pStyle w:val="231"/>
              <w:ind w:firstLine="0" w:firstLineChars="0"/>
              <w:jc w:val="cente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≥90%</w:t>
            </w:r>
          </w:p>
        </w:tc>
        <w:tc>
          <w:tcPr>
            <w:tcW w:w="2270" w:type="dxa"/>
            <w:tcBorders>
              <w:top w:val="single" w:color="auto" w:sz="4" w:space="0"/>
              <w:left w:val="nil"/>
              <w:bottom w:val="single" w:color="auto" w:sz="4" w:space="0"/>
              <w:right w:val="single" w:color="auto" w:sz="4" w:space="0"/>
            </w:tcBorders>
            <w:vAlign w:val="center"/>
          </w:tcPr>
          <w:p w14:paraId="4207FB86">
            <w:pPr>
              <w:pStyle w:val="231"/>
              <w:ind w:firstLine="0" w:firstLineChars="0"/>
              <w:jc w:val="center"/>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≥80%</w:t>
            </w:r>
          </w:p>
        </w:tc>
      </w:tr>
      <w:tr w14:paraId="1355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96" w:type="dxa"/>
            <w:tcBorders>
              <w:top w:val="nil"/>
              <w:left w:val="single" w:color="auto" w:sz="4" w:space="0"/>
              <w:bottom w:val="single" w:color="auto" w:sz="4" w:space="0"/>
              <w:right w:val="single" w:color="auto" w:sz="4" w:space="0"/>
            </w:tcBorders>
            <w:vAlign w:val="center"/>
          </w:tcPr>
          <w:p w14:paraId="2940332D">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可溶性固形物含量</w:t>
            </w:r>
          </w:p>
        </w:tc>
        <w:tc>
          <w:tcPr>
            <w:tcW w:w="2410" w:type="dxa"/>
            <w:tcBorders>
              <w:top w:val="single" w:color="auto" w:sz="4" w:space="0"/>
              <w:left w:val="nil"/>
              <w:bottom w:val="single" w:color="auto" w:sz="4" w:space="0"/>
              <w:right w:val="single" w:color="auto" w:sz="4" w:space="0"/>
            </w:tcBorders>
            <w:vAlign w:val="center"/>
          </w:tcPr>
          <w:p w14:paraId="194C9AAF">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themeColor="text1"/>
                <w:sz w:val="20"/>
                <w:szCs w:val="20"/>
                <w14:textFill>
                  <w14:solidFill>
                    <w14:schemeClr w14:val="tx1"/>
                  </w14:solidFill>
                </w14:textFill>
              </w:rPr>
              <w:t>≥</w:t>
            </w:r>
            <w:r>
              <w:rPr>
                <w:rFonts w:hint="default" w:ascii="Times New Roman" w:hAnsi="Times New Roman" w:cs="Times New Roman"/>
                <w:color w:val="000000"/>
                <w:sz w:val="20"/>
                <w:szCs w:val="20"/>
              </w:rPr>
              <w:t>13.0%</w:t>
            </w:r>
          </w:p>
        </w:tc>
        <w:tc>
          <w:tcPr>
            <w:tcW w:w="2410" w:type="dxa"/>
            <w:tcBorders>
              <w:top w:val="single" w:color="auto" w:sz="4" w:space="0"/>
              <w:left w:val="nil"/>
              <w:bottom w:val="single" w:color="auto" w:sz="4" w:space="0"/>
              <w:right w:val="single" w:color="auto" w:sz="4" w:space="0"/>
            </w:tcBorders>
            <w:vAlign w:val="center"/>
          </w:tcPr>
          <w:p w14:paraId="45513147">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themeColor="text1"/>
                <w:sz w:val="20"/>
                <w:szCs w:val="20"/>
                <w14:textFill>
                  <w14:solidFill>
                    <w14:schemeClr w14:val="tx1"/>
                  </w14:solidFill>
                </w14:textFill>
              </w:rPr>
              <w:t>≥</w:t>
            </w:r>
            <w:r>
              <w:rPr>
                <w:rFonts w:hint="default" w:ascii="Times New Roman" w:hAnsi="Times New Roman" w:cs="Times New Roman"/>
                <w:color w:val="000000"/>
                <w:sz w:val="20"/>
                <w:szCs w:val="20"/>
              </w:rPr>
              <w:t>12.5%</w:t>
            </w:r>
          </w:p>
        </w:tc>
        <w:tc>
          <w:tcPr>
            <w:tcW w:w="2270" w:type="dxa"/>
            <w:tcBorders>
              <w:top w:val="single" w:color="auto" w:sz="4" w:space="0"/>
              <w:left w:val="nil"/>
              <w:bottom w:val="single" w:color="auto" w:sz="4" w:space="0"/>
              <w:right w:val="single" w:color="auto" w:sz="4" w:space="0"/>
            </w:tcBorders>
            <w:vAlign w:val="center"/>
          </w:tcPr>
          <w:p w14:paraId="3B6175C9">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themeColor="text1"/>
                <w:sz w:val="20"/>
                <w:szCs w:val="20"/>
                <w14:textFill>
                  <w14:solidFill>
                    <w14:schemeClr w14:val="tx1"/>
                  </w14:solidFill>
                </w14:textFill>
              </w:rPr>
              <w:t>≥</w:t>
            </w:r>
            <w:r>
              <w:rPr>
                <w:rFonts w:hint="default" w:ascii="Times New Roman" w:hAnsi="Times New Roman" w:cs="Times New Roman"/>
                <w:color w:val="000000"/>
                <w:sz w:val="20"/>
                <w:szCs w:val="20"/>
              </w:rPr>
              <w:t>12.5%</w:t>
            </w:r>
          </w:p>
        </w:tc>
      </w:tr>
      <w:tr w14:paraId="0163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96" w:type="dxa"/>
            <w:tcBorders>
              <w:top w:val="single" w:color="auto" w:sz="4" w:space="0"/>
              <w:left w:val="single" w:color="auto" w:sz="4" w:space="0"/>
              <w:bottom w:val="single" w:color="auto" w:sz="4" w:space="0"/>
              <w:right w:val="single" w:color="auto" w:sz="4" w:space="0"/>
            </w:tcBorders>
            <w:vAlign w:val="center"/>
          </w:tcPr>
          <w:p w14:paraId="69027665">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总酸含量</w:t>
            </w:r>
          </w:p>
        </w:tc>
        <w:tc>
          <w:tcPr>
            <w:tcW w:w="2410" w:type="dxa"/>
            <w:tcBorders>
              <w:top w:val="single" w:color="auto" w:sz="4" w:space="0"/>
              <w:left w:val="nil"/>
              <w:bottom w:val="single" w:color="auto" w:sz="4" w:space="0"/>
              <w:right w:val="single" w:color="auto" w:sz="4" w:space="0"/>
            </w:tcBorders>
            <w:vAlign w:val="center"/>
          </w:tcPr>
          <w:p w14:paraId="1D4F62A7">
            <w:pPr>
              <w:pStyle w:val="231"/>
              <w:ind w:firstLine="0" w:firstLineChars="0"/>
              <w:jc w:val="center"/>
              <w:rPr>
                <w:rFonts w:hint="default" w:ascii="Times New Roman" w:hAnsi="Times New Roman" w:cs="Times New Roman"/>
                <w:color w:val="000000"/>
                <w:sz w:val="20"/>
                <w:szCs w:val="20"/>
              </w:rPr>
            </w:pPr>
            <w:bookmarkStart w:id="48" w:name="OLE_LINK5"/>
            <w:r>
              <w:rPr>
                <w:rFonts w:hint="default" w:ascii="Times New Roman" w:hAnsi="Times New Roman" w:cs="Times New Roman"/>
                <w:color w:val="000000"/>
                <w:sz w:val="20"/>
                <w:szCs w:val="20"/>
              </w:rPr>
              <w:t>≤0.3%</w:t>
            </w:r>
            <w:bookmarkEnd w:id="48"/>
          </w:p>
        </w:tc>
        <w:tc>
          <w:tcPr>
            <w:tcW w:w="2410" w:type="dxa"/>
            <w:tcBorders>
              <w:top w:val="single" w:color="auto" w:sz="4" w:space="0"/>
              <w:left w:val="nil"/>
              <w:bottom w:val="single" w:color="auto" w:sz="4" w:space="0"/>
              <w:right w:val="single" w:color="auto" w:sz="4" w:space="0"/>
            </w:tcBorders>
            <w:vAlign w:val="center"/>
          </w:tcPr>
          <w:p w14:paraId="180F990B">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w:t>
            </w:r>
          </w:p>
        </w:tc>
        <w:tc>
          <w:tcPr>
            <w:tcW w:w="2270" w:type="dxa"/>
            <w:tcBorders>
              <w:top w:val="single" w:color="auto" w:sz="4" w:space="0"/>
              <w:left w:val="nil"/>
              <w:bottom w:val="single" w:color="auto" w:sz="4" w:space="0"/>
              <w:right w:val="single" w:color="auto" w:sz="4" w:space="0"/>
            </w:tcBorders>
            <w:vAlign w:val="center"/>
          </w:tcPr>
          <w:p w14:paraId="0B20A129">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w:t>
            </w:r>
          </w:p>
        </w:tc>
      </w:tr>
      <w:tr w14:paraId="7D74A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96" w:type="dxa"/>
            <w:tcBorders>
              <w:top w:val="single" w:color="auto" w:sz="4" w:space="0"/>
              <w:left w:val="single" w:color="auto" w:sz="4" w:space="0"/>
              <w:bottom w:val="single" w:color="auto" w:sz="4" w:space="0"/>
              <w:right w:val="single" w:color="auto" w:sz="4" w:space="0"/>
            </w:tcBorders>
            <w:vAlign w:val="center"/>
          </w:tcPr>
          <w:p w14:paraId="76C3ED92">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横径</w:t>
            </w:r>
            <w:r>
              <w:rPr>
                <w:rFonts w:hint="default" w:ascii="Times New Roman" w:hAnsi="Times New Roman" w:cs="Times New Roman"/>
                <w:color w:val="000000"/>
                <w:sz w:val="20"/>
                <w:szCs w:val="20"/>
                <w:lang w:eastAsia="zh-CN"/>
              </w:rPr>
              <w:t>（</w:t>
            </w:r>
            <w:r>
              <w:rPr>
                <w:rFonts w:hint="default" w:ascii="Times New Roman" w:hAnsi="Times New Roman" w:cs="Times New Roman"/>
                <w:color w:val="000000"/>
                <w:sz w:val="20"/>
                <w:szCs w:val="20"/>
              </w:rPr>
              <w:t>mm</w:t>
            </w:r>
            <w:r>
              <w:rPr>
                <w:rFonts w:hint="default" w:ascii="Times New Roman" w:hAnsi="Times New Roman" w:cs="Times New Roman"/>
                <w:color w:val="000000"/>
                <w:sz w:val="20"/>
                <w:szCs w:val="20"/>
                <w:lang w:eastAsia="zh-CN"/>
              </w:rPr>
              <w:t>）</w:t>
            </w:r>
          </w:p>
        </w:tc>
        <w:tc>
          <w:tcPr>
            <w:tcW w:w="2410" w:type="dxa"/>
            <w:tcBorders>
              <w:top w:val="single" w:color="auto" w:sz="4" w:space="0"/>
              <w:left w:val="nil"/>
              <w:bottom w:val="single" w:color="auto" w:sz="4" w:space="0"/>
              <w:right w:val="single" w:color="auto" w:sz="4" w:space="0"/>
            </w:tcBorders>
            <w:vAlign w:val="center"/>
          </w:tcPr>
          <w:p w14:paraId="51F54A61">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themeColor="text1"/>
                <w:sz w:val="20"/>
                <w:szCs w:val="20"/>
                <w14:textFill>
                  <w14:solidFill>
                    <w14:schemeClr w14:val="tx1"/>
                  </w14:solidFill>
                </w14:textFill>
              </w:rPr>
              <w:t>≥</w:t>
            </w:r>
            <w:r>
              <w:rPr>
                <w:rFonts w:hint="default" w:ascii="Times New Roman" w:hAnsi="Times New Roman" w:cs="Times New Roman"/>
                <w:color w:val="000000"/>
                <w:sz w:val="20"/>
                <w:szCs w:val="20"/>
              </w:rPr>
              <w:t>75，≤90</w:t>
            </w:r>
          </w:p>
        </w:tc>
        <w:tc>
          <w:tcPr>
            <w:tcW w:w="2410" w:type="dxa"/>
            <w:tcBorders>
              <w:top w:val="single" w:color="auto" w:sz="4" w:space="0"/>
              <w:left w:val="nil"/>
              <w:bottom w:val="single" w:color="auto" w:sz="4" w:space="0"/>
              <w:right w:val="single" w:color="auto" w:sz="4" w:space="0"/>
            </w:tcBorders>
            <w:vAlign w:val="center"/>
          </w:tcPr>
          <w:p w14:paraId="5DEB5B5D">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themeColor="text1"/>
                <w:sz w:val="20"/>
                <w:szCs w:val="20"/>
                <w14:textFill>
                  <w14:solidFill>
                    <w14:schemeClr w14:val="tx1"/>
                  </w14:solidFill>
                </w14:textFill>
              </w:rPr>
              <w:t>≥</w:t>
            </w:r>
            <w:r>
              <w:rPr>
                <w:rFonts w:hint="default" w:ascii="Times New Roman" w:hAnsi="Times New Roman" w:cs="Times New Roman"/>
                <w:color w:val="000000"/>
                <w:sz w:val="20"/>
                <w:szCs w:val="20"/>
              </w:rPr>
              <w:t>70，≤90</w:t>
            </w:r>
          </w:p>
        </w:tc>
        <w:tc>
          <w:tcPr>
            <w:tcW w:w="2270" w:type="dxa"/>
            <w:tcBorders>
              <w:top w:val="single" w:color="auto" w:sz="4" w:space="0"/>
              <w:left w:val="nil"/>
              <w:bottom w:val="single" w:color="auto" w:sz="4" w:space="0"/>
              <w:right w:val="single" w:color="auto" w:sz="4" w:space="0"/>
            </w:tcBorders>
            <w:vAlign w:val="center"/>
          </w:tcPr>
          <w:p w14:paraId="442134AC">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themeColor="text1"/>
                <w:sz w:val="20"/>
                <w:szCs w:val="20"/>
                <w14:textFill>
                  <w14:solidFill>
                    <w14:schemeClr w14:val="tx1"/>
                  </w14:solidFill>
                </w14:textFill>
              </w:rPr>
              <w:t>≥</w:t>
            </w:r>
            <w:r>
              <w:rPr>
                <w:rFonts w:hint="default" w:ascii="Times New Roman" w:hAnsi="Times New Roman" w:cs="Times New Roman"/>
                <w:color w:val="000000"/>
                <w:sz w:val="20"/>
                <w:szCs w:val="20"/>
              </w:rPr>
              <w:t>70，≤95</w:t>
            </w:r>
          </w:p>
        </w:tc>
      </w:tr>
      <w:tr w14:paraId="2CAD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96" w:type="dxa"/>
            <w:tcBorders>
              <w:top w:val="single" w:color="auto" w:sz="4" w:space="0"/>
              <w:left w:val="single" w:color="auto" w:sz="4" w:space="0"/>
              <w:bottom w:val="single" w:color="auto" w:sz="4" w:space="0"/>
              <w:right w:val="single" w:color="auto" w:sz="4" w:space="0"/>
            </w:tcBorders>
            <w:vAlign w:val="center"/>
          </w:tcPr>
          <w:p w14:paraId="2D924E02">
            <w:pPr>
              <w:pStyle w:val="231"/>
              <w:ind w:firstLine="0" w:firstLineChars="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去皮硬度</w:t>
            </w:r>
            <w:r>
              <w:rPr>
                <w:rFonts w:hint="default" w:ascii="Times New Roman" w:hAnsi="Times New Roman" w:cs="Times New Roman"/>
                <w:color w:val="000000"/>
                <w:sz w:val="20"/>
                <w:szCs w:val="20"/>
                <w:lang w:eastAsia="zh-CN"/>
              </w:rPr>
              <w:t>（</w:t>
            </w:r>
            <w:r>
              <w:rPr>
                <w:rFonts w:hint="default" w:ascii="Times New Roman" w:hAnsi="Times New Roman" w:cs="Times New Roman"/>
                <w:color w:val="000000"/>
                <w:sz w:val="20"/>
                <w:szCs w:val="20"/>
              </w:rPr>
              <w:t>kg/cm</w:t>
            </w:r>
            <w:r>
              <w:rPr>
                <w:rFonts w:hint="default" w:ascii="Times New Roman" w:hAnsi="Times New Roman" w:cs="Times New Roman"/>
                <w:color w:val="000000"/>
                <w:sz w:val="20"/>
                <w:szCs w:val="20"/>
                <w:vertAlign w:val="superscript"/>
              </w:rPr>
              <w:t>2</w:t>
            </w:r>
            <w:r>
              <w:rPr>
                <w:rFonts w:hint="default" w:ascii="Times New Roman" w:hAnsi="Times New Roman" w:cs="Times New Roman"/>
                <w:color w:val="000000"/>
                <w:sz w:val="20"/>
                <w:szCs w:val="20"/>
                <w:lang w:eastAsia="zh-CN"/>
              </w:rPr>
              <w:t>）</w:t>
            </w:r>
          </w:p>
        </w:tc>
        <w:tc>
          <w:tcPr>
            <w:tcW w:w="7090" w:type="dxa"/>
            <w:gridSpan w:val="3"/>
            <w:tcBorders>
              <w:top w:val="single" w:color="auto" w:sz="4" w:space="0"/>
              <w:left w:val="nil"/>
              <w:bottom w:val="single" w:color="auto" w:sz="4" w:space="0"/>
              <w:right w:val="single" w:color="auto" w:sz="4" w:space="0"/>
            </w:tcBorders>
            <w:vAlign w:val="center"/>
          </w:tcPr>
          <w:p w14:paraId="0FB6FDEC">
            <w:pPr>
              <w:pStyle w:val="231"/>
              <w:ind w:firstLine="0" w:firstLineChars="0"/>
              <w:jc w:val="center"/>
              <w:rPr>
                <w:rFonts w:hint="default" w:ascii="Times New Roman" w:hAnsi="Times New Roman" w:eastAsia="宋体" w:cs="Times New Roman"/>
                <w:color w:val="000000" w:themeColor="text1"/>
                <w:sz w:val="20"/>
                <w:szCs w:val="20"/>
                <w:lang w:val="en-US" w:eastAsia="zh-CN"/>
                <w14:textFill>
                  <w14:solidFill>
                    <w14:schemeClr w14:val="tx1"/>
                  </w14:solidFill>
                </w14:textFill>
              </w:rPr>
            </w:pPr>
            <w:r>
              <w:rPr>
                <w:rFonts w:hint="default" w:ascii="Times New Roman" w:hAnsi="Times New Roman" w:cs="Times New Roman"/>
                <w:color w:val="000000"/>
                <w:sz w:val="20"/>
                <w:szCs w:val="20"/>
              </w:rPr>
              <w:t>≥6.5</w:t>
            </w:r>
          </w:p>
        </w:tc>
      </w:tr>
      <w:tr w14:paraId="35449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96" w:type="dxa"/>
            <w:tcBorders>
              <w:top w:val="single" w:color="auto" w:sz="4" w:space="0"/>
              <w:left w:val="single" w:color="auto" w:sz="4" w:space="0"/>
              <w:bottom w:val="single" w:color="auto" w:sz="4" w:space="0"/>
              <w:right w:val="single" w:color="auto" w:sz="4" w:space="0"/>
            </w:tcBorders>
            <w:shd w:val="clear" w:color="auto" w:fill="auto"/>
            <w:vAlign w:val="center"/>
          </w:tcPr>
          <w:p w14:paraId="3C0B12F6">
            <w:pPr>
              <w:spacing w:line="240" w:lineRule="auto"/>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sz w:val="20"/>
                <w:szCs w:val="20"/>
              </w:rPr>
              <w:t>可滴定酸%</w:t>
            </w:r>
          </w:p>
        </w:tc>
        <w:tc>
          <w:tcPr>
            <w:tcW w:w="7090" w:type="dxa"/>
            <w:gridSpan w:val="3"/>
            <w:tcBorders>
              <w:top w:val="single" w:color="auto" w:sz="4" w:space="0"/>
              <w:left w:val="nil"/>
              <w:bottom w:val="single" w:color="auto" w:sz="4" w:space="0"/>
              <w:right w:val="single" w:color="auto" w:sz="4" w:space="0"/>
            </w:tcBorders>
            <w:shd w:val="clear" w:color="auto" w:fill="auto"/>
            <w:vAlign w:val="center"/>
          </w:tcPr>
          <w:p w14:paraId="4090CC82">
            <w:pPr>
              <w:spacing w:line="240" w:lineRule="auto"/>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sz w:val="20"/>
                <w:szCs w:val="20"/>
              </w:rPr>
              <w:t>≥0.2，且≤0.3</w:t>
            </w:r>
          </w:p>
        </w:tc>
      </w:tr>
      <w:tr w14:paraId="3F56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96" w:type="dxa"/>
            <w:tcBorders>
              <w:top w:val="single" w:color="auto" w:sz="4" w:space="0"/>
              <w:left w:val="single" w:color="auto" w:sz="4" w:space="0"/>
              <w:bottom w:val="single" w:color="auto" w:sz="4" w:space="0"/>
              <w:right w:val="single" w:color="auto" w:sz="4" w:space="0"/>
            </w:tcBorders>
            <w:shd w:val="clear" w:color="auto" w:fill="auto"/>
            <w:vAlign w:val="center"/>
          </w:tcPr>
          <w:p w14:paraId="1D81F9DE">
            <w:pPr>
              <w:spacing w:line="240" w:lineRule="auto"/>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sz w:val="20"/>
                <w:szCs w:val="20"/>
              </w:rPr>
              <w:t>固酸比</w:t>
            </w:r>
          </w:p>
        </w:tc>
        <w:tc>
          <w:tcPr>
            <w:tcW w:w="7090" w:type="dxa"/>
            <w:gridSpan w:val="3"/>
            <w:tcBorders>
              <w:top w:val="single" w:color="auto" w:sz="4" w:space="0"/>
              <w:left w:val="nil"/>
              <w:bottom w:val="single" w:color="auto" w:sz="4" w:space="0"/>
              <w:right w:val="single" w:color="auto" w:sz="4" w:space="0"/>
            </w:tcBorders>
            <w:shd w:val="clear" w:color="auto" w:fill="auto"/>
            <w:vAlign w:val="center"/>
          </w:tcPr>
          <w:p w14:paraId="3E2C89E9">
            <w:pPr>
              <w:spacing w:line="240" w:lineRule="auto"/>
              <w:jc w:val="center"/>
              <w:rPr>
                <w:rFonts w:hint="default" w:ascii="Times New Roman" w:hAnsi="Times New Roman" w:eastAsia="宋体" w:cs="Times New Roman"/>
                <w:color w:val="000000"/>
                <w:kern w:val="2"/>
                <w:sz w:val="20"/>
                <w:szCs w:val="20"/>
                <w:lang w:val="en-US" w:eastAsia="zh-CN" w:bidi="ar-SA"/>
              </w:rPr>
            </w:pPr>
            <w:r>
              <w:rPr>
                <w:rFonts w:hint="default" w:ascii="Times New Roman" w:hAnsi="Times New Roman" w:cs="Times New Roman"/>
                <w:color w:val="000000"/>
                <w:sz w:val="20"/>
                <w:szCs w:val="20"/>
              </w:rPr>
              <w:t>≥35：1</w:t>
            </w:r>
          </w:p>
        </w:tc>
      </w:tr>
    </w:tbl>
    <w:p w14:paraId="6B37AA8B">
      <w:pPr>
        <w:pStyle w:val="26"/>
        <w:spacing w:before="0" w:after="0"/>
        <w:jc w:val="both"/>
        <w:rPr>
          <w:rFonts w:hint="default" w:ascii="Times New Roman" w:hAnsi="Times New Roman" w:eastAsia="黑体" w:cs="Times New Roman"/>
          <w:color w:val="000000"/>
          <w:sz w:val="20"/>
          <w:szCs w:val="20"/>
        </w:rPr>
      </w:pPr>
    </w:p>
    <w:p w14:paraId="22EC6CB4">
      <w:pPr>
        <w:rPr>
          <w:rFonts w:hint="default" w:ascii="Times New Roman" w:hAnsi="Times New Roman" w:cs="Times New Roman"/>
        </w:rPr>
      </w:pPr>
    </w:p>
    <w:p w14:paraId="74628CE3">
      <w:pPr>
        <w:rPr>
          <w:rFonts w:hint="default" w:ascii="Times New Roman" w:hAnsi="Times New Roman" w:cs="Times New Roman"/>
        </w:rPr>
      </w:pPr>
    </w:p>
    <w:p w14:paraId="58206256">
      <w:pPr>
        <w:rPr>
          <w:rFonts w:hint="default" w:ascii="Times New Roman" w:hAnsi="Times New Roman" w:cs="Times New Roman"/>
        </w:rPr>
      </w:pPr>
    </w:p>
    <w:p w14:paraId="3C7088D2">
      <w:pPr>
        <w:rPr>
          <w:rFonts w:hint="default" w:ascii="Times New Roman" w:hAnsi="Times New Roman" w:cs="Times New Roman"/>
        </w:rPr>
      </w:pPr>
    </w:p>
    <w:p w14:paraId="622D1F50">
      <w:pPr>
        <w:rPr>
          <w:rFonts w:hint="default" w:ascii="Times New Roman" w:hAnsi="Times New Roman" w:cs="Times New Roman"/>
        </w:rPr>
      </w:pPr>
    </w:p>
    <w:p w14:paraId="24032BD4">
      <w:pPr>
        <w:rPr>
          <w:rFonts w:hint="default" w:ascii="Times New Roman" w:hAnsi="Times New Roman" w:cs="Times New Roman"/>
        </w:rPr>
      </w:pPr>
    </w:p>
    <w:p w14:paraId="44285B11">
      <w:pPr>
        <w:rPr>
          <w:rFonts w:hint="default" w:ascii="Times New Roman" w:hAnsi="Times New Roman" w:cs="Times New Roman"/>
        </w:rPr>
      </w:pPr>
    </w:p>
    <w:p w14:paraId="37157BA8">
      <w:pPr>
        <w:rPr>
          <w:rFonts w:hint="default" w:ascii="Times New Roman" w:hAnsi="Times New Roman" w:cs="Times New Roman"/>
        </w:rPr>
      </w:pPr>
    </w:p>
    <w:p w14:paraId="359A421C">
      <w:pPr>
        <w:rPr>
          <w:rFonts w:hint="default" w:ascii="Times New Roman" w:hAnsi="Times New Roman" w:cs="Times New Roman"/>
        </w:rPr>
      </w:pPr>
    </w:p>
    <w:p w14:paraId="7131E61D">
      <w:pPr>
        <w:rPr>
          <w:rFonts w:hint="default" w:ascii="Times New Roman" w:hAnsi="Times New Roman" w:cs="Times New Roman"/>
        </w:rPr>
      </w:pPr>
    </w:p>
    <w:p w14:paraId="68A965E6">
      <w:pPr>
        <w:pStyle w:val="26"/>
        <w:spacing w:before="0" w:after="0"/>
        <w:jc w:val="both"/>
        <w:rPr>
          <w:rFonts w:hint="default" w:ascii="Times New Roman" w:hAnsi="Times New Roman" w:eastAsia="黑体" w:cs="Times New Roman"/>
          <w:color w:val="000000"/>
          <w:sz w:val="20"/>
          <w:szCs w:val="20"/>
        </w:rPr>
      </w:pPr>
    </w:p>
    <w:p w14:paraId="5F7BE2DE">
      <w:pPr>
        <w:pStyle w:val="26"/>
        <w:spacing w:before="0" w:after="0"/>
        <w:jc w:val="both"/>
        <w:rPr>
          <w:rFonts w:hint="default" w:ascii="Times New Roman" w:hAnsi="Times New Roman" w:eastAsia="黑体" w:cs="Times New Roman"/>
          <w:color w:val="000000"/>
          <w:sz w:val="20"/>
          <w:szCs w:val="20"/>
        </w:rPr>
      </w:pPr>
    </w:p>
    <w:p w14:paraId="70528907">
      <w:pPr>
        <w:pStyle w:val="26"/>
        <w:spacing w:before="0" w:after="0"/>
        <w:jc w:val="both"/>
        <w:rPr>
          <w:rFonts w:hint="default" w:ascii="Times New Roman" w:hAnsi="Times New Roman" w:eastAsia="黑体" w:cs="Times New Roman"/>
          <w:color w:val="000000"/>
          <w:sz w:val="20"/>
          <w:szCs w:val="20"/>
        </w:rPr>
      </w:pPr>
    </w:p>
    <w:p w14:paraId="117AE8E9">
      <w:pPr>
        <w:pStyle w:val="26"/>
        <w:spacing w:before="0" w:after="0"/>
        <w:jc w:val="both"/>
        <w:rPr>
          <w:rFonts w:hint="default" w:ascii="Times New Roman" w:hAnsi="Times New Roman" w:eastAsia="黑体" w:cs="Times New Roman"/>
          <w:color w:val="000000"/>
          <w:sz w:val="20"/>
          <w:szCs w:val="20"/>
        </w:rPr>
      </w:pPr>
    </w:p>
    <w:p w14:paraId="26BA23F3">
      <w:pPr>
        <w:pStyle w:val="26"/>
        <w:spacing w:before="0" w:after="0"/>
        <w:jc w:val="both"/>
        <w:rPr>
          <w:rFonts w:hint="default" w:ascii="Times New Roman" w:hAnsi="Times New Roman" w:eastAsia="黑体" w:cs="Times New Roman"/>
          <w:color w:val="000000"/>
          <w:sz w:val="20"/>
          <w:szCs w:val="20"/>
        </w:rPr>
      </w:pPr>
    </w:p>
    <w:p w14:paraId="1CD6BCFC">
      <w:pPr>
        <w:pStyle w:val="26"/>
        <w:spacing w:before="0" w:after="0"/>
        <w:jc w:val="both"/>
        <w:rPr>
          <w:rFonts w:hint="default" w:ascii="Times New Roman" w:hAnsi="Times New Roman" w:eastAsia="黑体" w:cs="Times New Roman"/>
          <w:color w:val="000000"/>
          <w:sz w:val="20"/>
          <w:szCs w:val="20"/>
        </w:rPr>
      </w:pPr>
    </w:p>
    <w:p w14:paraId="21D34B9B">
      <w:pPr>
        <w:pStyle w:val="26"/>
        <w:spacing w:before="0" w:after="0"/>
        <w:jc w:val="both"/>
        <w:rPr>
          <w:rFonts w:hint="default" w:ascii="Times New Roman" w:hAnsi="Times New Roman" w:eastAsia="黑体" w:cs="Times New Roman"/>
          <w:color w:val="000000"/>
          <w:sz w:val="20"/>
          <w:szCs w:val="20"/>
        </w:rPr>
      </w:pPr>
    </w:p>
    <w:p w14:paraId="72C4B373">
      <w:pPr>
        <w:pStyle w:val="26"/>
        <w:spacing w:before="0" w:after="0"/>
        <w:jc w:val="both"/>
        <w:rPr>
          <w:rFonts w:hint="default" w:ascii="Times New Roman" w:hAnsi="Times New Roman" w:eastAsia="黑体" w:cs="Times New Roman"/>
          <w:color w:val="000000"/>
          <w:sz w:val="20"/>
          <w:szCs w:val="20"/>
        </w:rPr>
      </w:pPr>
    </w:p>
    <w:p w14:paraId="0CF697B0">
      <w:pPr>
        <w:pStyle w:val="26"/>
        <w:spacing w:before="0" w:after="0"/>
        <w:jc w:val="both"/>
        <w:rPr>
          <w:rFonts w:hint="default" w:ascii="Times New Roman" w:hAnsi="Times New Roman" w:eastAsia="黑体" w:cs="Times New Roman"/>
          <w:color w:val="000000"/>
          <w:sz w:val="20"/>
          <w:szCs w:val="20"/>
        </w:rPr>
      </w:pPr>
    </w:p>
    <w:p w14:paraId="21C8DD64">
      <w:pPr>
        <w:pStyle w:val="26"/>
        <w:spacing w:before="0" w:after="0"/>
        <w:jc w:val="both"/>
        <w:rPr>
          <w:rFonts w:hint="default" w:ascii="Times New Roman" w:hAnsi="Times New Roman" w:eastAsia="黑体" w:cs="Times New Roman"/>
          <w:color w:val="000000"/>
          <w:sz w:val="20"/>
          <w:szCs w:val="20"/>
        </w:rPr>
      </w:pPr>
    </w:p>
    <w:p w14:paraId="135B015D">
      <w:pPr>
        <w:pStyle w:val="26"/>
        <w:spacing w:before="0" w:after="0"/>
        <w:jc w:val="both"/>
        <w:rPr>
          <w:rFonts w:hint="default" w:ascii="Times New Roman" w:hAnsi="Times New Roman" w:eastAsia="黑体" w:cs="Times New Roman"/>
          <w:b w:val="0"/>
          <w:bCs w:val="0"/>
          <w:color w:val="000000"/>
          <w:sz w:val="21"/>
          <w:szCs w:val="21"/>
          <w:lang w:val="en-US" w:eastAsia="zh-CN"/>
        </w:rPr>
      </w:pPr>
      <w:r>
        <w:rPr>
          <w:rFonts w:hint="default" w:ascii="Times New Roman" w:hAnsi="Times New Roman" w:eastAsia="黑体" w:cs="Times New Roman"/>
          <w:b w:val="0"/>
          <w:bCs w:val="0"/>
          <w:color w:val="000000"/>
          <w:sz w:val="21"/>
          <w:szCs w:val="21"/>
          <w:lang w:val="en-US" w:eastAsia="zh-CN"/>
        </w:rPr>
        <w:t>4.2 规格要求</w:t>
      </w:r>
    </w:p>
    <w:p w14:paraId="3A60ACE1">
      <w:pPr>
        <w:widowControl/>
        <w:ind w:firstLine="420" w:firstLineChars="200"/>
        <w:rPr>
          <w:rFonts w:hint="default" w:ascii="Times New Roman" w:hAnsi="Times New Roman" w:cs="Times New Roman"/>
          <w:color w:val="000000"/>
          <w:kern w:val="0"/>
        </w:rPr>
      </w:pPr>
      <w:r>
        <w:rPr>
          <w:rFonts w:hint="default" w:ascii="Times New Roman" w:hAnsi="Times New Roman" w:cs="Times New Roman"/>
          <w:color w:val="000000"/>
          <w:kern w:val="0"/>
        </w:rPr>
        <w:t>花牛苹果按照果实横径分为特大果、大果、中果、小果三种规格，各规格要求应符合表2规定。</w:t>
      </w:r>
    </w:p>
    <w:p w14:paraId="76BC2565">
      <w:pPr>
        <w:pStyle w:val="114"/>
        <w:widowControl/>
        <w:numPr>
          <w:ilvl w:val="0"/>
          <w:numId w:val="16"/>
        </w:numPr>
        <w:tabs>
          <w:tab w:val="left" w:pos="0"/>
          <w:tab w:val="clear" w:pos="4678"/>
          <w:tab w:val="clear" w:pos="9356"/>
        </w:tabs>
        <w:adjustRightInd/>
        <w:spacing w:before="120" w:beforeLines="50" w:after="120" w:afterLines="50" w:line="278" w:lineRule="auto"/>
        <w:jc w:val="center"/>
        <w:rPr>
          <w:rFonts w:hint="default" w:ascii="Times New Roman" w:hAnsi="Times New Roman" w:cs="Times New Roman"/>
          <w:color w:val="000000"/>
          <w:sz w:val="20"/>
        </w:rPr>
      </w:pPr>
      <w:r>
        <w:rPr>
          <w:rFonts w:hint="default" w:ascii="Times New Roman" w:hAnsi="Times New Roman" w:cs="Times New Roman"/>
          <w:color w:val="000000"/>
          <w:sz w:val="20"/>
        </w:rPr>
        <w:t>规格要求</w:t>
      </w:r>
    </w:p>
    <w:tbl>
      <w:tblPr>
        <w:tblStyle w:val="27"/>
        <w:tblW w:w="869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603"/>
        <w:gridCol w:w="1900"/>
        <w:gridCol w:w="1917"/>
        <w:gridCol w:w="1591"/>
        <w:gridCol w:w="1684"/>
      </w:tblGrid>
      <w:tr w14:paraId="148D61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8" w:hRule="atLeast"/>
          <w:jc w:val="center"/>
        </w:trPr>
        <w:tc>
          <w:tcPr>
            <w:tcW w:w="1603" w:type="dxa"/>
            <w:tcBorders>
              <w:top w:val="single" w:color="auto" w:sz="8" w:space="0"/>
              <w:left w:val="single" w:color="auto" w:sz="8" w:space="0"/>
              <w:bottom w:val="single" w:color="auto" w:sz="8" w:space="0"/>
              <w:right w:val="single" w:color="auto" w:sz="4" w:space="0"/>
            </w:tcBorders>
            <w:vAlign w:val="center"/>
          </w:tcPr>
          <w:p w14:paraId="1D0776A3">
            <w:pPr>
              <w:pStyle w:val="180"/>
              <w:numPr>
                <w:ilvl w:val="0"/>
                <w:numId w:val="0"/>
              </w:numPr>
              <w:ind w:left="820"/>
              <w:rPr>
                <w:rFonts w:hint="default" w:ascii="Times New Roman" w:hAnsi="Times New Roman" w:cs="Times New Roman"/>
                <w:color w:val="000000"/>
                <w:sz w:val="20"/>
              </w:rPr>
            </w:pPr>
            <w:r>
              <w:rPr>
                <w:rFonts w:hint="default" w:ascii="Times New Roman" w:hAnsi="Times New Roman" w:cs="Times New Roman"/>
                <w:color w:val="000000"/>
                <w:sz w:val="20"/>
              </w:rPr>
              <w:t>规格</w:t>
            </w:r>
          </w:p>
        </w:tc>
        <w:tc>
          <w:tcPr>
            <w:tcW w:w="1900" w:type="dxa"/>
            <w:tcBorders>
              <w:top w:val="single" w:color="auto" w:sz="8" w:space="0"/>
              <w:left w:val="single" w:color="auto" w:sz="4" w:space="0"/>
              <w:bottom w:val="single" w:color="auto" w:sz="8" w:space="0"/>
              <w:right w:val="single" w:color="auto" w:sz="4" w:space="0"/>
            </w:tcBorders>
            <w:vAlign w:val="center"/>
          </w:tcPr>
          <w:p w14:paraId="1FF6F252">
            <w:pPr>
              <w:pStyle w:val="180"/>
              <w:numPr>
                <w:ilvl w:val="0"/>
                <w:numId w:val="0"/>
              </w:numPr>
              <w:ind w:left="363"/>
              <w:rPr>
                <w:rFonts w:hint="default" w:ascii="Times New Roman" w:hAnsi="Times New Roman" w:cs="Times New Roman"/>
                <w:color w:val="000000"/>
                <w:sz w:val="20"/>
              </w:rPr>
            </w:pPr>
            <w:r>
              <w:rPr>
                <w:rFonts w:hint="default" w:ascii="Times New Roman" w:hAnsi="Times New Roman" w:cs="Times New Roman"/>
                <w:color w:val="000000"/>
                <w:sz w:val="20"/>
              </w:rPr>
              <w:t>小果（S）</w:t>
            </w:r>
          </w:p>
        </w:tc>
        <w:tc>
          <w:tcPr>
            <w:tcW w:w="1917" w:type="dxa"/>
            <w:tcBorders>
              <w:top w:val="single" w:color="auto" w:sz="8" w:space="0"/>
              <w:left w:val="single" w:color="auto" w:sz="4" w:space="0"/>
              <w:bottom w:val="single" w:color="auto" w:sz="8" w:space="0"/>
              <w:right w:val="single" w:color="auto" w:sz="4" w:space="0"/>
            </w:tcBorders>
            <w:vAlign w:val="center"/>
          </w:tcPr>
          <w:p w14:paraId="1E9E5114">
            <w:pPr>
              <w:pStyle w:val="180"/>
              <w:numPr>
                <w:ilvl w:val="0"/>
                <w:numId w:val="0"/>
              </w:numPr>
              <w:ind w:left="363"/>
              <w:rPr>
                <w:rFonts w:hint="default" w:ascii="Times New Roman" w:hAnsi="Times New Roman" w:cs="Times New Roman"/>
                <w:color w:val="000000"/>
                <w:sz w:val="20"/>
              </w:rPr>
            </w:pPr>
            <w:r>
              <w:rPr>
                <w:rFonts w:hint="default" w:ascii="Times New Roman" w:hAnsi="Times New Roman" w:cs="Times New Roman"/>
                <w:color w:val="000000"/>
                <w:sz w:val="20"/>
              </w:rPr>
              <w:t>中果（M）</w:t>
            </w:r>
          </w:p>
        </w:tc>
        <w:tc>
          <w:tcPr>
            <w:tcW w:w="1591" w:type="dxa"/>
            <w:tcBorders>
              <w:top w:val="single" w:color="auto" w:sz="8" w:space="0"/>
              <w:left w:val="single" w:color="auto" w:sz="4" w:space="0"/>
              <w:bottom w:val="single" w:color="auto" w:sz="8" w:space="0"/>
              <w:right w:val="single" w:color="auto" w:sz="8" w:space="0"/>
            </w:tcBorders>
            <w:vAlign w:val="center"/>
          </w:tcPr>
          <w:p w14:paraId="7522002C">
            <w:pPr>
              <w:pStyle w:val="180"/>
              <w:numPr>
                <w:ilvl w:val="0"/>
                <w:numId w:val="0"/>
              </w:numPr>
              <w:ind w:left="363"/>
              <w:rPr>
                <w:rFonts w:hint="default" w:ascii="Times New Roman" w:hAnsi="Times New Roman" w:cs="Times New Roman"/>
                <w:color w:val="000000"/>
                <w:sz w:val="20"/>
              </w:rPr>
            </w:pPr>
            <w:r>
              <w:rPr>
                <w:rFonts w:hint="default" w:ascii="Times New Roman" w:hAnsi="Times New Roman" w:cs="Times New Roman"/>
                <w:color w:val="000000"/>
                <w:sz w:val="20"/>
              </w:rPr>
              <w:t>大果（L）</w:t>
            </w:r>
          </w:p>
        </w:tc>
        <w:tc>
          <w:tcPr>
            <w:tcW w:w="1684" w:type="dxa"/>
            <w:tcBorders>
              <w:top w:val="single" w:color="auto" w:sz="8" w:space="0"/>
              <w:left w:val="single" w:color="auto" w:sz="4" w:space="0"/>
              <w:bottom w:val="single" w:color="auto" w:sz="8" w:space="0"/>
              <w:right w:val="single" w:color="auto" w:sz="8" w:space="0"/>
            </w:tcBorders>
            <w:vAlign w:val="center"/>
          </w:tcPr>
          <w:p w14:paraId="1C0F5B15">
            <w:pPr>
              <w:pStyle w:val="180"/>
              <w:numPr>
                <w:ilvl w:val="0"/>
                <w:numId w:val="0"/>
              </w:numPr>
              <w:ind w:left="363"/>
              <w:rPr>
                <w:rFonts w:hint="default" w:ascii="Times New Roman" w:hAnsi="Times New Roman" w:cs="Times New Roman"/>
                <w:color w:val="000000"/>
                <w:sz w:val="20"/>
              </w:rPr>
            </w:pPr>
            <w:r>
              <w:rPr>
                <w:rFonts w:hint="default" w:ascii="Times New Roman" w:hAnsi="Times New Roman" w:cs="Times New Roman"/>
                <w:color w:val="000000"/>
                <w:sz w:val="20"/>
              </w:rPr>
              <w:t>特大果（XL）</w:t>
            </w:r>
          </w:p>
        </w:tc>
      </w:tr>
      <w:tr w14:paraId="349ED1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9" w:hRule="atLeast"/>
          <w:jc w:val="center"/>
        </w:trPr>
        <w:tc>
          <w:tcPr>
            <w:tcW w:w="1603" w:type="dxa"/>
            <w:tcBorders>
              <w:top w:val="single" w:color="auto" w:sz="8" w:space="0"/>
              <w:left w:val="single" w:color="auto" w:sz="8" w:space="0"/>
              <w:bottom w:val="single" w:color="auto" w:sz="8" w:space="0"/>
              <w:right w:val="single" w:color="auto" w:sz="4" w:space="0"/>
            </w:tcBorders>
            <w:vAlign w:val="center"/>
          </w:tcPr>
          <w:p w14:paraId="7AF06DC4">
            <w:pPr>
              <w:pStyle w:val="180"/>
              <w:numPr>
                <w:ilvl w:val="0"/>
                <w:numId w:val="0"/>
              </w:numPr>
              <w:ind w:left="363"/>
              <w:rPr>
                <w:rFonts w:hint="default" w:ascii="Times New Roman" w:hAnsi="Times New Roman" w:cs="Times New Roman"/>
                <w:color w:val="000000"/>
                <w:sz w:val="20"/>
              </w:rPr>
            </w:pPr>
            <w:r>
              <w:rPr>
                <w:rFonts w:hint="default" w:ascii="Times New Roman" w:hAnsi="Times New Roman" w:cs="Times New Roman"/>
                <w:color w:val="000000"/>
                <w:sz w:val="20"/>
              </w:rPr>
              <w:t>横径</w:t>
            </w:r>
            <w:r>
              <w:rPr>
                <w:rFonts w:hint="default" w:ascii="Times New Roman" w:hAnsi="Times New Roman" w:cs="Times New Roman"/>
                <w:color w:val="000000"/>
                <w:sz w:val="20"/>
                <w:lang w:eastAsia="zh-CN"/>
              </w:rPr>
              <w:t>（</w:t>
            </w:r>
            <w:r>
              <w:rPr>
                <w:rFonts w:hint="default" w:ascii="Times New Roman" w:hAnsi="Times New Roman" w:cs="Times New Roman"/>
                <w:color w:val="000000"/>
                <w:sz w:val="20"/>
              </w:rPr>
              <w:t>mm</w:t>
            </w:r>
            <w:r>
              <w:rPr>
                <w:rFonts w:hint="default" w:ascii="Times New Roman" w:hAnsi="Times New Roman" w:cs="Times New Roman"/>
                <w:color w:val="000000"/>
                <w:sz w:val="20"/>
                <w:lang w:eastAsia="zh-CN"/>
              </w:rPr>
              <w:t>）</w:t>
            </w:r>
          </w:p>
        </w:tc>
        <w:tc>
          <w:tcPr>
            <w:tcW w:w="1900" w:type="dxa"/>
            <w:tcBorders>
              <w:top w:val="single" w:color="auto" w:sz="8" w:space="0"/>
              <w:left w:val="single" w:color="auto" w:sz="4" w:space="0"/>
              <w:bottom w:val="single" w:color="auto" w:sz="8" w:space="0"/>
              <w:right w:val="single" w:color="auto" w:sz="4" w:space="0"/>
            </w:tcBorders>
            <w:vAlign w:val="center"/>
          </w:tcPr>
          <w:p w14:paraId="19773B5F">
            <w:pPr>
              <w:pStyle w:val="180"/>
              <w:numPr>
                <w:ilvl w:val="0"/>
                <w:numId w:val="0"/>
              </w:numPr>
              <w:ind w:left="363"/>
              <w:rPr>
                <w:rFonts w:hint="default" w:ascii="Times New Roman" w:hAnsi="Times New Roman" w:cs="Times New Roman"/>
                <w:color w:val="000000"/>
                <w:sz w:val="20"/>
              </w:rPr>
            </w:pPr>
            <w:r>
              <w:rPr>
                <w:rFonts w:hint="default" w:ascii="Times New Roman" w:hAnsi="Times New Roman" w:cs="Times New Roman"/>
                <w:color w:val="000000" w:themeColor="text1"/>
                <w:sz w:val="20"/>
                <w14:textFill>
                  <w14:solidFill>
                    <w14:schemeClr w14:val="tx1"/>
                  </w14:solidFill>
                </w14:textFill>
              </w:rPr>
              <w:t>≥</w:t>
            </w:r>
            <w:r>
              <w:rPr>
                <w:rFonts w:hint="default" w:ascii="Times New Roman" w:hAnsi="Times New Roman" w:cs="Times New Roman"/>
                <w:color w:val="000000"/>
                <w:sz w:val="20"/>
              </w:rPr>
              <w:t>70，＜75</w:t>
            </w:r>
          </w:p>
        </w:tc>
        <w:tc>
          <w:tcPr>
            <w:tcW w:w="1917" w:type="dxa"/>
            <w:tcBorders>
              <w:top w:val="single" w:color="auto" w:sz="8" w:space="0"/>
              <w:left w:val="single" w:color="auto" w:sz="4" w:space="0"/>
              <w:bottom w:val="single" w:color="auto" w:sz="8" w:space="0"/>
              <w:right w:val="single" w:color="auto" w:sz="4" w:space="0"/>
            </w:tcBorders>
            <w:vAlign w:val="center"/>
          </w:tcPr>
          <w:p w14:paraId="38EC439C">
            <w:pPr>
              <w:pStyle w:val="180"/>
              <w:numPr>
                <w:ilvl w:val="0"/>
                <w:numId w:val="0"/>
              </w:numPr>
              <w:ind w:left="363"/>
              <w:rPr>
                <w:rFonts w:hint="default" w:ascii="Times New Roman" w:hAnsi="Times New Roman" w:cs="Times New Roman"/>
                <w:color w:val="000000"/>
                <w:sz w:val="20"/>
              </w:rPr>
            </w:pPr>
            <w:r>
              <w:rPr>
                <w:rFonts w:hint="default" w:ascii="Times New Roman" w:hAnsi="Times New Roman" w:cs="Times New Roman"/>
                <w:color w:val="000000" w:themeColor="text1"/>
                <w:sz w:val="20"/>
                <w14:textFill>
                  <w14:solidFill>
                    <w14:schemeClr w14:val="tx1"/>
                  </w14:solidFill>
                </w14:textFill>
              </w:rPr>
              <w:t>≥75，＜</w:t>
            </w:r>
            <w:r>
              <w:rPr>
                <w:rFonts w:hint="default" w:ascii="Times New Roman" w:hAnsi="Times New Roman" w:cs="Times New Roman"/>
                <w:color w:val="000000"/>
                <w:sz w:val="20"/>
              </w:rPr>
              <w:t>80</w:t>
            </w:r>
          </w:p>
        </w:tc>
        <w:tc>
          <w:tcPr>
            <w:tcW w:w="1591" w:type="dxa"/>
            <w:tcBorders>
              <w:top w:val="single" w:color="auto" w:sz="8" w:space="0"/>
              <w:left w:val="single" w:color="auto" w:sz="4" w:space="0"/>
              <w:bottom w:val="single" w:color="auto" w:sz="8" w:space="0"/>
              <w:right w:val="single" w:color="auto" w:sz="8" w:space="0"/>
            </w:tcBorders>
            <w:vAlign w:val="center"/>
          </w:tcPr>
          <w:p w14:paraId="7A0E4ED0">
            <w:pPr>
              <w:pStyle w:val="180"/>
              <w:numPr>
                <w:ilvl w:val="0"/>
                <w:numId w:val="0"/>
              </w:numPr>
              <w:ind w:left="363"/>
              <w:rPr>
                <w:rFonts w:hint="default" w:ascii="Times New Roman" w:hAnsi="Times New Roman" w:cs="Times New Roman"/>
                <w:color w:val="000000"/>
                <w:sz w:val="20"/>
              </w:rPr>
            </w:pPr>
            <w:r>
              <w:rPr>
                <w:rFonts w:hint="default" w:ascii="Times New Roman" w:hAnsi="Times New Roman" w:cs="Times New Roman"/>
                <w:color w:val="000000" w:themeColor="text1"/>
                <w:sz w:val="20"/>
                <w14:textFill>
                  <w14:solidFill>
                    <w14:schemeClr w14:val="tx1"/>
                  </w14:solidFill>
                </w14:textFill>
              </w:rPr>
              <w:t>≥80，＜</w:t>
            </w:r>
            <w:r>
              <w:rPr>
                <w:rFonts w:hint="default" w:ascii="Times New Roman" w:hAnsi="Times New Roman" w:cs="Times New Roman"/>
                <w:color w:val="000000"/>
                <w:sz w:val="20"/>
              </w:rPr>
              <w:t>90</w:t>
            </w:r>
          </w:p>
        </w:tc>
        <w:tc>
          <w:tcPr>
            <w:tcW w:w="1684" w:type="dxa"/>
            <w:tcBorders>
              <w:top w:val="single" w:color="auto" w:sz="8" w:space="0"/>
              <w:left w:val="single" w:color="auto" w:sz="4" w:space="0"/>
              <w:bottom w:val="single" w:color="auto" w:sz="8" w:space="0"/>
              <w:right w:val="single" w:color="auto" w:sz="8" w:space="0"/>
            </w:tcBorders>
            <w:vAlign w:val="center"/>
          </w:tcPr>
          <w:p w14:paraId="08CF041F">
            <w:pPr>
              <w:pStyle w:val="180"/>
              <w:numPr>
                <w:ilvl w:val="0"/>
                <w:numId w:val="0"/>
              </w:numPr>
              <w:ind w:left="363"/>
              <w:jc w:val="center"/>
              <w:rPr>
                <w:rFonts w:hint="default" w:ascii="Times New Roman" w:hAnsi="Times New Roman" w:cs="Times New Roman"/>
                <w:color w:val="000000"/>
                <w:sz w:val="20"/>
              </w:rPr>
            </w:pPr>
            <w:r>
              <w:rPr>
                <w:rFonts w:hint="default" w:ascii="Times New Roman" w:hAnsi="Times New Roman" w:cs="Times New Roman"/>
                <w:color w:val="000000"/>
                <w:sz w:val="20"/>
              </w:rPr>
              <w:t>≥90</w:t>
            </w:r>
          </w:p>
        </w:tc>
      </w:tr>
    </w:tbl>
    <w:p w14:paraId="4098ABE6">
      <w:pPr>
        <w:pStyle w:val="57"/>
        <w:ind w:firstLine="420"/>
        <w:rPr>
          <w:rFonts w:hint="default" w:ascii="Times New Roman" w:hAnsi="Times New Roman" w:cs="Times New Roman"/>
          <w:color w:val="000000"/>
          <w:szCs w:val="21"/>
        </w:rPr>
      </w:pPr>
    </w:p>
    <w:p w14:paraId="16AD9F68">
      <w:pPr>
        <w:pStyle w:val="106"/>
        <w:numPr>
          <w:ilvl w:val="2"/>
          <w:numId w:val="0"/>
        </w:numPr>
        <w:spacing w:before="120" w:after="120"/>
        <w:rPr>
          <w:rFonts w:hint="default" w:ascii="Times New Roman" w:hAnsi="Times New Roman" w:cs="Times New Roman"/>
        </w:rPr>
      </w:pPr>
      <w:bookmarkStart w:id="49" w:name="_Toc17102"/>
      <w:bookmarkStart w:id="50" w:name="_Toc30125"/>
      <w:bookmarkStart w:id="51" w:name="_Toc391"/>
      <w:r>
        <w:rPr>
          <w:rFonts w:hint="default" w:ascii="Times New Roman" w:hAnsi="Times New Roman" w:cs="Times New Roman"/>
          <w:lang w:val="en-US" w:eastAsia="zh-CN"/>
        </w:rPr>
        <w:t>4</w:t>
      </w:r>
      <w:r>
        <w:rPr>
          <w:rFonts w:hint="default" w:ascii="Times New Roman" w:hAnsi="Times New Roman" w:cs="Times New Roman"/>
        </w:rPr>
        <w:t>.</w:t>
      </w:r>
      <w:r>
        <w:rPr>
          <w:rFonts w:hint="default" w:ascii="Times New Roman" w:hAnsi="Times New Roman" w:cs="Times New Roman"/>
          <w:lang w:val="en-US" w:eastAsia="zh-CN"/>
        </w:rPr>
        <w:t xml:space="preserve">3 </w:t>
      </w:r>
      <w:r>
        <w:rPr>
          <w:rFonts w:hint="default" w:ascii="Times New Roman" w:hAnsi="Times New Roman" w:cs="Times New Roman"/>
        </w:rPr>
        <w:t>卫生要求</w:t>
      </w:r>
      <w:bookmarkEnd w:id="49"/>
      <w:bookmarkEnd w:id="50"/>
      <w:bookmarkEnd w:id="51"/>
    </w:p>
    <w:p w14:paraId="344C479A">
      <w:pPr>
        <w:pStyle w:val="57"/>
        <w:ind w:firstLine="420"/>
        <w:rPr>
          <w:rFonts w:hint="default" w:ascii="Times New Roman" w:hAnsi="Times New Roman" w:cs="Times New Roman"/>
          <w:color w:val="000000"/>
          <w:szCs w:val="21"/>
        </w:rPr>
      </w:pPr>
      <w:r>
        <w:rPr>
          <w:rFonts w:hint="default" w:ascii="Times New Roman" w:hAnsi="Times New Roman" w:cs="Times New Roman"/>
          <w:color w:val="000000"/>
          <w:szCs w:val="21"/>
        </w:rPr>
        <w:t>花牛苹果中农药、重金属等污染物限量卫生指标应符合GB 2762和GB 2763及相关标准的规定。</w:t>
      </w:r>
    </w:p>
    <w:p w14:paraId="2AF30E08">
      <w:pPr>
        <w:pStyle w:val="57"/>
        <w:ind w:firstLine="420"/>
        <w:rPr>
          <w:rFonts w:hint="default" w:ascii="Times New Roman" w:hAnsi="Times New Roman" w:cs="Times New Roman"/>
        </w:rPr>
      </w:pPr>
      <w:bookmarkStart w:id="52" w:name="_Toc19103"/>
      <w:bookmarkStart w:id="53" w:name="_Toc1873"/>
      <w:bookmarkStart w:id="54" w:name="_Toc8319"/>
      <w:r>
        <w:rPr>
          <w:rFonts w:hint="default" w:ascii="Times New Roman" w:hAnsi="Times New Roman" w:cs="Times New Roman"/>
          <w:lang w:val="en-US" w:eastAsia="zh-CN"/>
        </w:rPr>
        <w:t>5</w:t>
      </w:r>
      <w:r>
        <w:rPr>
          <w:rFonts w:hint="default" w:ascii="Times New Roman" w:hAnsi="Times New Roman" w:cs="Times New Roman"/>
        </w:rPr>
        <w:t xml:space="preserve">  </w:t>
      </w:r>
    </w:p>
    <w:p w14:paraId="067ED146">
      <w:pPr>
        <w:pStyle w:val="105"/>
        <w:numPr>
          <w:ilvl w:val="1"/>
          <w:numId w:val="0"/>
        </w:numPr>
        <w:spacing w:before="240" w:after="240"/>
        <w:rPr>
          <w:rFonts w:hint="default" w:ascii="Times New Roman" w:hAnsi="Times New Roman" w:cs="Times New Roman"/>
        </w:rPr>
      </w:pPr>
      <w:r>
        <w:rPr>
          <w:rFonts w:hint="eastAsia" w:ascii="Times New Roman" w:cs="Times New Roman"/>
          <w:lang w:val="en-US" w:eastAsia="zh-CN"/>
        </w:rPr>
        <w:t>5</w:t>
      </w:r>
      <w:r>
        <w:rPr>
          <w:rFonts w:hint="default" w:ascii="Times New Roman" w:hAnsi="Times New Roman" w:cs="Times New Roman"/>
        </w:rPr>
        <w:t xml:space="preserve">  </w:t>
      </w:r>
      <w:r>
        <w:rPr>
          <w:rFonts w:hint="default" w:ascii="Times New Roman" w:hAnsi="Times New Roman" w:cs="Times New Roman"/>
          <w:lang w:val="en-US" w:eastAsia="zh-CN"/>
        </w:rPr>
        <w:t xml:space="preserve"> </w:t>
      </w:r>
      <w:r>
        <w:rPr>
          <w:rFonts w:hint="default" w:ascii="Times New Roman" w:hAnsi="Times New Roman" w:cs="Times New Roman"/>
        </w:rPr>
        <w:t>检验方法</w:t>
      </w:r>
      <w:bookmarkEnd w:id="52"/>
      <w:bookmarkEnd w:id="53"/>
      <w:bookmarkEnd w:id="54"/>
    </w:p>
    <w:p w14:paraId="0396A865">
      <w:pPr>
        <w:pStyle w:val="106"/>
        <w:numPr>
          <w:ilvl w:val="2"/>
          <w:numId w:val="0"/>
        </w:numPr>
        <w:spacing w:before="120" w:after="120"/>
        <w:rPr>
          <w:rFonts w:hint="default" w:ascii="Times New Roman" w:hAnsi="Times New Roman" w:cs="Times New Roman"/>
        </w:rPr>
      </w:pPr>
      <w:r>
        <w:rPr>
          <w:rFonts w:hint="eastAsia" w:ascii="Times New Roman" w:cs="Times New Roman"/>
          <w:lang w:val="en-US" w:eastAsia="zh-CN"/>
        </w:rPr>
        <w:t>5</w:t>
      </w:r>
      <w:r>
        <w:rPr>
          <w:rFonts w:hint="default" w:ascii="Times New Roman" w:hAnsi="Times New Roman" w:cs="Times New Roman"/>
        </w:rPr>
        <w:t>.1 检验环境</w:t>
      </w:r>
    </w:p>
    <w:p w14:paraId="7F3E6D5D">
      <w:pPr>
        <w:pStyle w:val="57"/>
        <w:ind w:firstLine="420"/>
        <w:rPr>
          <w:rFonts w:hint="default" w:ascii="Times New Roman" w:hAnsi="Times New Roman" w:cs="Times New Roman"/>
        </w:rPr>
      </w:pPr>
      <w:r>
        <w:rPr>
          <w:rFonts w:hint="default" w:ascii="Times New Roman" w:hAnsi="Times New Roman" w:cs="Times New Roman"/>
        </w:rPr>
        <w:t>检验工作宜在室内开展，检验场所应光线充足、通风良好，并配备检验所需的设备及器材。</w:t>
      </w:r>
    </w:p>
    <w:p w14:paraId="3AF42258">
      <w:pPr>
        <w:pStyle w:val="106"/>
        <w:numPr>
          <w:ilvl w:val="2"/>
          <w:numId w:val="0"/>
        </w:numPr>
        <w:spacing w:before="120" w:after="120"/>
        <w:rPr>
          <w:rFonts w:hint="default" w:ascii="Times New Roman" w:hAnsi="Times New Roman" w:cs="Times New Roman"/>
        </w:rPr>
      </w:pPr>
      <w:bookmarkStart w:id="55" w:name="_Toc32016"/>
      <w:bookmarkStart w:id="56" w:name="_Toc24835"/>
      <w:bookmarkStart w:id="57" w:name="_Toc20192"/>
      <w:r>
        <w:rPr>
          <w:rFonts w:hint="eastAsia" w:ascii="Times New Roman" w:cs="Times New Roman"/>
          <w:lang w:val="en-US" w:eastAsia="zh-CN"/>
        </w:rPr>
        <w:t>5</w:t>
      </w:r>
      <w:r>
        <w:rPr>
          <w:rFonts w:hint="default" w:ascii="Times New Roman" w:hAnsi="Times New Roman" w:cs="Times New Roman"/>
        </w:rPr>
        <w:t>.2 等级规格检验</w:t>
      </w:r>
      <w:bookmarkEnd w:id="55"/>
      <w:bookmarkEnd w:id="56"/>
      <w:bookmarkEnd w:id="57"/>
    </w:p>
    <w:p w14:paraId="5F8CA192">
      <w:pPr>
        <w:pStyle w:val="57"/>
        <w:ind w:firstLine="420"/>
        <w:rPr>
          <w:rFonts w:hint="default" w:ascii="Times New Roman" w:hAnsi="Times New Roman" w:cs="Times New Roman"/>
          <w:color w:val="000000"/>
          <w:szCs w:val="21"/>
        </w:rPr>
      </w:pPr>
      <w:r>
        <w:rPr>
          <w:rFonts w:hint="default" w:ascii="Times New Roman" w:hAnsi="Times New Roman" w:cs="Times New Roman"/>
          <w:color w:val="000000"/>
          <w:szCs w:val="21"/>
        </w:rPr>
        <w:t>按GB/T 10651规定执行。其中果形指数测定，用游标卡尺分别测定果实纵径和横径，纵径和横径的比值即为果形指数，每批测定样品数不得少于30个，求其加权平均值。</w:t>
      </w:r>
    </w:p>
    <w:p w14:paraId="1982C79E">
      <w:pPr>
        <w:pStyle w:val="106"/>
        <w:numPr>
          <w:ilvl w:val="2"/>
          <w:numId w:val="0"/>
        </w:numPr>
        <w:spacing w:before="120" w:after="120"/>
        <w:rPr>
          <w:rFonts w:hint="default" w:ascii="Times New Roman" w:hAnsi="Times New Roman" w:cs="Times New Roman"/>
        </w:rPr>
      </w:pPr>
      <w:bookmarkStart w:id="58" w:name="_Toc20973"/>
      <w:bookmarkStart w:id="59" w:name="_Toc26444"/>
      <w:bookmarkStart w:id="60" w:name="_Toc29980"/>
      <w:r>
        <w:rPr>
          <w:rFonts w:hint="eastAsia" w:ascii="Times New Roman" w:cs="Times New Roman"/>
          <w:color w:val="000000"/>
          <w:szCs w:val="21"/>
          <w:lang w:val="en-US" w:eastAsia="zh-CN"/>
        </w:rPr>
        <w:t>5</w:t>
      </w:r>
      <w:r>
        <w:rPr>
          <w:rFonts w:hint="default" w:ascii="Times New Roman" w:hAnsi="Times New Roman" w:cs="Times New Roman"/>
          <w:color w:val="000000"/>
          <w:szCs w:val="21"/>
        </w:rPr>
        <w:t>.3 理化检验</w:t>
      </w:r>
      <w:bookmarkEnd w:id="58"/>
      <w:bookmarkEnd w:id="59"/>
      <w:bookmarkEnd w:id="60"/>
    </w:p>
    <w:p w14:paraId="6208A1B1">
      <w:pPr>
        <w:pStyle w:val="57"/>
        <w:ind w:firstLine="420"/>
        <w:rPr>
          <w:rFonts w:hint="default" w:ascii="Times New Roman" w:hAnsi="Times New Roman" w:cs="Times New Roman"/>
          <w:color w:val="000000"/>
          <w:szCs w:val="21"/>
        </w:rPr>
      </w:pPr>
      <w:r>
        <w:rPr>
          <w:rFonts w:hint="default" w:ascii="Times New Roman" w:hAnsi="Times New Roman" w:cs="Times New Roman"/>
          <w:color w:val="000000"/>
          <w:szCs w:val="21"/>
        </w:rPr>
        <w:t>去皮硬度、可溶性固形物按GB/T 10651规定执行，可滴定酸测定按附录A规定的方法测定。但果实硬度应使用测头直径为8 mm的果实硬度计测试，以kg/cm</w:t>
      </w:r>
      <w:r>
        <w:rPr>
          <w:rFonts w:hint="default" w:ascii="Times New Roman" w:hAnsi="Times New Roman" w:cs="Times New Roman"/>
          <w:color w:val="000000"/>
          <w:szCs w:val="21"/>
          <w:vertAlign w:val="superscript"/>
        </w:rPr>
        <w:t>2</w:t>
      </w:r>
      <w:r>
        <w:rPr>
          <w:rFonts w:hint="default" w:ascii="Times New Roman" w:hAnsi="Times New Roman" w:cs="Times New Roman"/>
          <w:color w:val="000000"/>
          <w:szCs w:val="21"/>
        </w:rPr>
        <w:t>表示测试结果。</w:t>
      </w:r>
    </w:p>
    <w:p w14:paraId="1FA03EA9">
      <w:pPr>
        <w:pStyle w:val="106"/>
        <w:numPr>
          <w:ilvl w:val="2"/>
          <w:numId w:val="0"/>
        </w:numPr>
        <w:spacing w:before="120" w:after="120"/>
        <w:rPr>
          <w:rFonts w:hint="default" w:ascii="Times New Roman" w:hAnsi="Times New Roman" w:cs="Times New Roman"/>
        </w:rPr>
      </w:pPr>
      <w:bookmarkStart w:id="61" w:name="_Toc1421"/>
      <w:bookmarkStart w:id="62" w:name="_Toc3764"/>
      <w:bookmarkStart w:id="63" w:name="_Toc11826"/>
      <w:r>
        <w:rPr>
          <w:rFonts w:hint="eastAsia" w:ascii="Times New Roman" w:cs="Times New Roman"/>
          <w:color w:val="000000"/>
          <w:szCs w:val="21"/>
          <w:lang w:val="en-US" w:eastAsia="zh-CN"/>
        </w:rPr>
        <w:t>5</w:t>
      </w:r>
      <w:r>
        <w:rPr>
          <w:rFonts w:hint="default" w:ascii="Times New Roman" w:hAnsi="Times New Roman" w:cs="Times New Roman"/>
          <w:color w:val="000000"/>
          <w:szCs w:val="21"/>
        </w:rPr>
        <w:t>.4 卫生检验</w:t>
      </w:r>
      <w:bookmarkEnd w:id="61"/>
      <w:bookmarkEnd w:id="62"/>
      <w:bookmarkEnd w:id="63"/>
    </w:p>
    <w:p w14:paraId="62061923">
      <w:pPr>
        <w:pStyle w:val="57"/>
        <w:ind w:firstLine="420"/>
        <w:rPr>
          <w:rFonts w:hint="default" w:ascii="Times New Roman" w:hAnsi="Times New Roman" w:cs="Times New Roman"/>
          <w:color w:val="000000"/>
          <w:szCs w:val="21"/>
        </w:rPr>
      </w:pPr>
      <w:r>
        <w:rPr>
          <w:rFonts w:hint="default" w:ascii="Times New Roman" w:hAnsi="Times New Roman" w:cs="Times New Roman"/>
          <w:color w:val="000000"/>
        </w:rPr>
        <w:t>按照</w:t>
      </w:r>
      <w:r>
        <w:rPr>
          <w:rFonts w:hint="default" w:ascii="Times New Roman" w:hAnsi="Times New Roman" w:cs="Times New Roman"/>
          <w:color w:val="000000"/>
          <w:szCs w:val="21"/>
        </w:rPr>
        <w:t>GB/T 5009.38、GB 2761、GB 2762、GB 2763中相关指标规定</w:t>
      </w:r>
      <w:r>
        <w:rPr>
          <w:rFonts w:hint="default" w:ascii="Times New Roman" w:hAnsi="Times New Roman" w:cs="Times New Roman"/>
          <w:color w:val="000000"/>
        </w:rPr>
        <w:t>的分析方法</w:t>
      </w:r>
      <w:r>
        <w:rPr>
          <w:rFonts w:hint="default" w:ascii="Times New Roman" w:hAnsi="Times New Roman" w:cs="Times New Roman"/>
          <w:color w:val="000000"/>
          <w:szCs w:val="21"/>
        </w:rPr>
        <w:t>执行。</w:t>
      </w:r>
    </w:p>
    <w:p w14:paraId="192D3E5C">
      <w:pPr>
        <w:pStyle w:val="105"/>
        <w:numPr>
          <w:ilvl w:val="1"/>
          <w:numId w:val="0"/>
        </w:numPr>
        <w:spacing w:before="240" w:after="240"/>
        <w:rPr>
          <w:rFonts w:hint="default" w:ascii="Times New Roman" w:hAnsi="Times New Roman" w:cs="Times New Roman"/>
        </w:rPr>
      </w:pPr>
      <w:bookmarkStart w:id="64" w:name="_Toc15790"/>
      <w:bookmarkStart w:id="65" w:name="_Toc28988"/>
      <w:bookmarkStart w:id="66" w:name="_Toc19769"/>
      <w:r>
        <w:rPr>
          <w:rFonts w:hint="eastAsia" w:ascii="Times New Roman" w:cs="Times New Roman"/>
          <w:color w:val="000000"/>
          <w:lang w:val="en-US" w:eastAsia="zh-CN"/>
        </w:rPr>
        <w:t>5.4</w:t>
      </w:r>
      <w:r>
        <w:rPr>
          <w:rFonts w:hint="default" w:ascii="Times New Roman" w:hAnsi="Times New Roman" w:cs="Times New Roman"/>
          <w:color w:val="000000"/>
        </w:rPr>
        <w:t>检验规则</w:t>
      </w:r>
      <w:bookmarkEnd w:id="64"/>
      <w:bookmarkEnd w:id="65"/>
      <w:bookmarkEnd w:id="66"/>
    </w:p>
    <w:p w14:paraId="20C59180">
      <w:pPr>
        <w:pStyle w:val="106"/>
        <w:numPr>
          <w:ilvl w:val="2"/>
          <w:numId w:val="0"/>
        </w:numPr>
        <w:spacing w:before="120" w:after="120"/>
        <w:rPr>
          <w:rFonts w:hint="default" w:ascii="Times New Roman" w:hAnsi="Times New Roman" w:cs="Times New Roman"/>
        </w:rPr>
      </w:pPr>
      <w:bookmarkStart w:id="67" w:name="_Toc12774"/>
      <w:bookmarkStart w:id="68" w:name="_Toc16459"/>
      <w:bookmarkStart w:id="69" w:name="_Toc32333"/>
      <w:r>
        <w:rPr>
          <w:rFonts w:hint="eastAsia" w:ascii="Times New Roman" w:cs="Times New Roman"/>
          <w:szCs w:val="21"/>
          <w:lang w:val="en-US" w:eastAsia="zh-CN"/>
        </w:rPr>
        <w:t>5.4</w:t>
      </w:r>
      <w:r>
        <w:rPr>
          <w:rFonts w:hint="default" w:ascii="Times New Roman" w:hAnsi="Times New Roman" w:cs="Times New Roman"/>
          <w:szCs w:val="21"/>
        </w:rPr>
        <w:t>.1 批次</w:t>
      </w:r>
      <w:bookmarkEnd w:id="67"/>
      <w:bookmarkEnd w:id="68"/>
      <w:bookmarkEnd w:id="69"/>
    </w:p>
    <w:p w14:paraId="782FBBF3">
      <w:pPr>
        <w:pStyle w:val="57"/>
        <w:ind w:firstLine="420"/>
        <w:rPr>
          <w:rFonts w:hint="default" w:ascii="Times New Roman" w:hAnsi="Times New Roman" w:cs="Times New Roman"/>
        </w:rPr>
      </w:pPr>
      <w:r>
        <w:rPr>
          <w:rFonts w:hint="default" w:ascii="Times New Roman" w:hAnsi="Times New Roman" w:cs="Times New Roman"/>
        </w:rPr>
        <w:t>同一产地、同一品种、同一采收日期的鲜苹果为一个检验批次。</w:t>
      </w:r>
    </w:p>
    <w:p w14:paraId="51B64C62">
      <w:pPr>
        <w:pStyle w:val="57"/>
        <w:ind w:firstLine="420"/>
        <w:rPr>
          <w:rFonts w:hint="default" w:ascii="Times New Roman" w:hAnsi="Times New Roman" w:cs="Times New Roman"/>
        </w:rPr>
      </w:pPr>
    </w:p>
    <w:p w14:paraId="08F5B286">
      <w:pPr>
        <w:pStyle w:val="106"/>
        <w:numPr>
          <w:ilvl w:val="2"/>
          <w:numId w:val="0"/>
        </w:numPr>
        <w:spacing w:before="120" w:after="120"/>
        <w:rPr>
          <w:rFonts w:hint="default" w:ascii="Times New Roman" w:hAnsi="Times New Roman" w:cs="Times New Roman"/>
        </w:rPr>
      </w:pPr>
      <w:bookmarkStart w:id="70" w:name="_Toc5250"/>
      <w:bookmarkStart w:id="71" w:name="_Toc916"/>
      <w:bookmarkStart w:id="72" w:name="_Toc19557"/>
      <w:r>
        <w:rPr>
          <w:rFonts w:hint="eastAsia" w:ascii="Times New Roman" w:cs="Times New Roman"/>
          <w:szCs w:val="21"/>
          <w:lang w:val="en-US" w:eastAsia="zh-CN"/>
        </w:rPr>
        <w:t>5.4.2</w:t>
      </w:r>
      <w:r>
        <w:rPr>
          <w:rFonts w:hint="default" w:ascii="Times New Roman" w:hAnsi="Times New Roman" w:cs="Times New Roman"/>
          <w:szCs w:val="21"/>
        </w:rPr>
        <w:t xml:space="preserve"> 抽样方法</w:t>
      </w:r>
      <w:bookmarkEnd w:id="70"/>
      <w:bookmarkEnd w:id="71"/>
      <w:bookmarkEnd w:id="72"/>
    </w:p>
    <w:p w14:paraId="50C912B1">
      <w:pPr>
        <w:pStyle w:val="57"/>
        <w:ind w:firstLine="420"/>
        <w:rPr>
          <w:rFonts w:hint="default" w:ascii="Times New Roman" w:hAnsi="Times New Roman" w:cs="Times New Roman"/>
          <w:szCs w:val="21"/>
        </w:rPr>
      </w:pPr>
      <w:r>
        <w:rPr>
          <w:rFonts w:hint="default" w:ascii="Times New Roman" w:hAnsi="Times New Roman" w:cs="Times New Roman"/>
          <w:szCs w:val="21"/>
        </w:rPr>
        <w:t>按GB/T 8855的取样方法规定执行。</w:t>
      </w:r>
    </w:p>
    <w:bookmarkEnd w:id="22"/>
    <w:bookmarkEnd w:id="28"/>
    <w:bookmarkEnd w:id="29"/>
    <w:bookmarkEnd w:id="30"/>
    <w:bookmarkEnd w:id="31"/>
    <w:bookmarkEnd w:id="32"/>
    <w:bookmarkEnd w:id="33"/>
    <w:bookmarkEnd w:id="34"/>
    <w:bookmarkEnd w:id="35"/>
    <w:bookmarkEnd w:id="36"/>
    <w:p w14:paraId="082F7308">
      <w:pPr>
        <w:pStyle w:val="105"/>
        <w:numPr>
          <w:ilvl w:val="1"/>
          <w:numId w:val="0"/>
        </w:numPr>
        <w:spacing w:before="240" w:after="240"/>
        <w:rPr>
          <w:rFonts w:hint="eastAsia" w:ascii="Times New Roman" w:cs="Times New Roman"/>
          <w:lang w:val="en-US" w:eastAsia="zh-CN"/>
        </w:rPr>
      </w:pPr>
      <w:r>
        <w:rPr>
          <w:rFonts w:hint="eastAsia" w:ascii="Times New Roman" w:cs="Times New Roman"/>
          <w:lang w:val="en-US" w:eastAsia="zh-CN"/>
        </w:rPr>
        <w:t>6 判定规则</w:t>
      </w:r>
    </w:p>
    <w:p w14:paraId="3C13DE68">
      <w:pPr>
        <w:pStyle w:val="106"/>
        <w:numPr>
          <w:ilvl w:val="2"/>
          <w:numId w:val="0"/>
        </w:numPr>
        <w:spacing w:before="120" w:after="120"/>
        <w:rPr>
          <w:rFonts w:hint="default" w:ascii="Times New Roman" w:hAnsi="Times New Roman" w:cs="Times New Roman"/>
        </w:rPr>
      </w:pPr>
      <w:r>
        <w:rPr>
          <w:rFonts w:hint="eastAsia" w:ascii="Times New Roman" w:cs="Times New Roman"/>
          <w:lang w:val="en-US" w:eastAsia="zh-CN"/>
        </w:rPr>
        <w:t>6</w:t>
      </w:r>
      <w:r>
        <w:rPr>
          <w:rFonts w:hint="default" w:ascii="Times New Roman" w:hAnsi="Times New Roman" w:cs="Times New Roman"/>
        </w:rPr>
        <w:t>.1</w:t>
      </w:r>
      <w:r>
        <w:rPr>
          <w:rFonts w:hint="default" w:ascii="Times New Roman" w:hAnsi="Times New Roman" w:cs="Times New Roman"/>
          <w:lang w:val="en-US" w:eastAsia="zh-CN"/>
        </w:rPr>
        <w:t xml:space="preserve"> </w:t>
      </w:r>
      <w:r>
        <w:rPr>
          <w:rFonts w:hint="default" w:ascii="Times New Roman" w:hAnsi="Times New Roman" w:cs="Times New Roman"/>
        </w:rPr>
        <w:t>等级容许</w:t>
      </w:r>
    </w:p>
    <w:p w14:paraId="6BA13797">
      <w:pPr>
        <w:pStyle w:val="166"/>
        <w:numPr>
          <w:ilvl w:val="3"/>
          <w:numId w:val="0"/>
        </w:numPr>
        <w:rPr>
          <w:rFonts w:hint="default" w:ascii="Times New Roman" w:hAnsi="Times New Roman" w:cs="Times New Roman"/>
        </w:rPr>
      </w:pPr>
      <w:r>
        <w:rPr>
          <w:rFonts w:hint="eastAsia" w:ascii="Times New Roman" w:eastAsia="黑体" w:cs="Times New Roman"/>
          <w:lang w:val="en-US" w:eastAsia="zh-CN"/>
        </w:rPr>
        <w:t>6</w:t>
      </w:r>
      <w:r>
        <w:rPr>
          <w:rFonts w:hint="default" w:ascii="Times New Roman" w:hAnsi="Times New Roman" w:eastAsia="黑体" w:cs="Times New Roman"/>
        </w:rPr>
        <w:t xml:space="preserve">.1.1  </w:t>
      </w:r>
      <w:r>
        <w:rPr>
          <w:rFonts w:hint="default" w:ascii="Times New Roman" w:hAnsi="Times New Roman" w:cs="Times New Roman"/>
        </w:rPr>
        <w:t>特级果产地验收允许有不</w:t>
      </w:r>
      <w:r>
        <w:rPr>
          <w:rFonts w:hint="default" w:ascii="Times New Roman" w:hAnsi="Times New Roman" w:eastAsia="宋体" w:cs="Times New Roman"/>
        </w:rPr>
        <w:t>超过3%、起运地至港站验收允许有不超过5%的果</w:t>
      </w:r>
      <w:r>
        <w:rPr>
          <w:rFonts w:hint="default" w:ascii="Times New Roman" w:hAnsi="Times New Roman" w:cs="Times New Roman"/>
        </w:rPr>
        <w:t>实不符合本等级规定的等级要求，但应满足一等果要求。</w:t>
      </w:r>
    </w:p>
    <w:p w14:paraId="2DE42D3E">
      <w:pPr>
        <w:pStyle w:val="166"/>
        <w:numPr>
          <w:ilvl w:val="3"/>
          <w:numId w:val="0"/>
        </w:numPr>
        <w:rPr>
          <w:rFonts w:hint="default" w:ascii="Times New Roman" w:hAnsi="Times New Roman" w:cs="Times New Roman"/>
        </w:rPr>
      </w:pPr>
      <w:r>
        <w:rPr>
          <w:rFonts w:hint="eastAsia" w:ascii="Times New Roman" w:eastAsia="黑体" w:cs="Times New Roman"/>
          <w:lang w:val="en-US" w:eastAsia="zh-CN"/>
        </w:rPr>
        <w:t>6</w:t>
      </w:r>
      <w:r>
        <w:rPr>
          <w:rFonts w:hint="default" w:ascii="Times New Roman" w:hAnsi="Times New Roman" w:eastAsia="黑体" w:cs="Times New Roman"/>
        </w:rPr>
        <w:t xml:space="preserve">.1.2  </w:t>
      </w:r>
      <w:r>
        <w:rPr>
          <w:rFonts w:hint="default" w:ascii="Times New Roman" w:hAnsi="Times New Roman" w:cs="Times New Roman"/>
        </w:rPr>
        <w:t>一等果产地验收允许有</w:t>
      </w:r>
      <w:r>
        <w:rPr>
          <w:rFonts w:hint="default" w:ascii="Times New Roman" w:hAnsi="Times New Roman" w:eastAsia="宋体" w:cs="Times New Roman"/>
        </w:rPr>
        <w:t>不超过5%、起运地至港站验收允许有不超过8%的</w:t>
      </w:r>
      <w:r>
        <w:rPr>
          <w:rFonts w:hint="default" w:ascii="Times New Roman" w:hAnsi="Times New Roman" w:cs="Times New Roman"/>
        </w:rPr>
        <w:t>果实不符合本等级规定的等级要求，但应满足二等果要求。</w:t>
      </w:r>
    </w:p>
    <w:p w14:paraId="18ECAEA3">
      <w:pPr>
        <w:pStyle w:val="166"/>
        <w:numPr>
          <w:ilvl w:val="3"/>
          <w:numId w:val="0"/>
        </w:numPr>
        <w:rPr>
          <w:rFonts w:hint="default" w:ascii="Times New Roman" w:hAnsi="Times New Roman" w:cs="Times New Roman"/>
        </w:rPr>
      </w:pPr>
      <w:r>
        <w:rPr>
          <w:rFonts w:hint="eastAsia" w:ascii="Times New Roman" w:eastAsia="黑体" w:cs="Times New Roman"/>
          <w:lang w:val="en-US" w:eastAsia="zh-CN"/>
        </w:rPr>
        <w:t>6</w:t>
      </w:r>
      <w:r>
        <w:rPr>
          <w:rFonts w:hint="default" w:ascii="Times New Roman" w:hAnsi="Times New Roman" w:eastAsia="黑体" w:cs="Times New Roman"/>
        </w:rPr>
        <w:t xml:space="preserve">.1.3  </w:t>
      </w:r>
      <w:r>
        <w:rPr>
          <w:rFonts w:hint="default" w:ascii="Times New Roman" w:hAnsi="Times New Roman" w:cs="Times New Roman"/>
        </w:rPr>
        <w:t>二等果地验收允许有不超</w:t>
      </w:r>
      <w:r>
        <w:rPr>
          <w:rFonts w:hint="default" w:ascii="Times New Roman" w:hAnsi="Times New Roman" w:eastAsia="宋体" w:cs="Times New Roman"/>
        </w:rPr>
        <w:t>过8%、起运地至港站验收允许有不超过10%的果实不符合本等级规定的等级要求，但应满足等外果要求。</w:t>
      </w:r>
    </w:p>
    <w:p w14:paraId="226E26F8">
      <w:pPr>
        <w:pStyle w:val="106"/>
        <w:numPr>
          <w:ilvl w:val="2"/>
          <w:numId w:val="0"/>
        </w:numPr>
        <w:spacing w:before="120" w:after="120"/>
        <w:rPr>
          <w:rFonts w:hint="default" w:ascii="Times New Roman" w:hAnsi="Times New Roman" w:cs="Times New Roman"/>
        </w:rPr>
      </w:pPr>
      <w:r>
        <w:rPr>
          <w:rFonts w:hint="eastAsia" w:ascii="Times New Roman" w:cs="Times New Roman"/>
          <w:lang w:val="en-US" w:eastAsia="zh-CN"/>
        </w:rPr>
        <w:t>6</w:t>
      </w:r>
      <w:r>
        <w:rPr>
          <w:rFonts w:hint="default" w:ascii="Times New Roman" w:hAnsi="Times New Roman" w:cs="Times New Roman"/>
        </w:rPr>
        <w:t>.2</w:t>
      </w:r>
      <w:r>
        <w:rPr>
          <w:rFonts w:hint="default" w:ascii="Times New Roman" w:hAnsi="Times New Roman" w:cs="Times New Roman"/>
          <w:lang w:val="en-US" w:eastAsia="zh-CN"/>
        </w:rPr>
        <w:t xml:space="preserve"> </w:t>
      </w:r>
      <w:r>
        <w:rPr>
          <w:rFonts w:hint="default" w:ascii="Times New Roman" w:hAnsi="Times New Roman" w:cs="Times New Roman"/>
        </w:rPr>
        <w:t>规格容许度</w:t>
      </w:r>
    </w:p>
    <w:p w14:paraId="7D787F21">
      <w:pPr>
        <w:pStyle w:val="57"/>
        <w:ind w:firstLine="420"/>
        <w:rPr>
          <w:rFonts w:hint="default" w:ascii="Times New Roman" w:hAnsi="Times New Roman" w:cs="Times New Roman"/>
        </w:rPr>
      </w:pPr>
      <w:r>
        <w:rPr>
          <w:rFonts w:hint="default" w:ascii="Times New Roman" w:hAnsi="Times New Roman" w:cs="Times New Roman"/>
        </w:rPr>
        <w:t>各规格苹果允许有不超过5%的果实低于本规格下限。</w:t>
      </w:r>
    </w:p>
    <w:p w14:paraId="24E70E33">
      <w:pPr>
        <w:pStyle w:val="106"/>
        <w:numPr>
          <w:ilvl w:val="2"/>
          <w:numId w:val="0"/>
        </w:numPr>
        <w:spacing w:before="120" w:after="120"/>
        <w:rPr>
          <w:rFonts w:hint="default" w:ascii="Times New Roman" w:hAnsi="Times New Roman" w:cs="Times New Roman"/>
        </w:rPr>
      </w:pPr>
      <w:r>
        <w:rPr>
          <w:rFonts w:hint="eastAsia" w:cs="Times New Roman"/>
          <w:lang w:val="en-US" w:eastAsia="zh-CN"/>
        </w:rPr>
        <w:t>6.3</w:t>
      </w:r>
      <w:bookmarkStart w:id="73" w:name="_Toc11603"/>
      <w:bookmarkStart w:id="74" w:name="_Toc26851"/>
      <w:bookmarkStart w:id="75" w:name="_Toc30331"/>
      <w:r>
        <w:rPr>
          <w:rFonts w:hint="eastAsia" w:cs="Times New Roman"/>
          <w:lang w:val="en-US" w:eastAsia="zh-CN"/>
        </w:rPr>
        <w:t xml:space="preserve"> </w:t>
      </w:r>
      <w:r>
        <w:rPr>
          <w:rFonts w:hint="default" w:ascii="Times New Roman" w:hAnsi="Times New Roman" w:cs="Times New Roman"/>
          <w:color w:val="000000"/>
        </w:rPr>
        <w:t>判定</w:t>
      </w:r>
      <w:bookmarkEnd w:id="73"/>
      <w:bookmarkEnd w:id="74"/>
      <w:bookmarkEnd w:id="75"/>
    </w:p>
    <w:p w14:paraId="4E0B8D76">
      <w:pPr>
        <w:pStyle w:val="166"/>
        <w:keepNext w:val="0"/>
        <w:keepLines w:val="0"/>
        <w:pageBreakBefore w:val="0"/>
        <w:widowControl w:val="0"/>
        <w:numPr>
          <w:ilvl w:val="3"/>
          <w:numId w:val="0"/>
        </w:numPr>
        <w:kinsoku/>
        <w:wordWrap/>
        <w:overflowPunct/>
        <w:topLinePunct w:val="0"/>
        <w:autoSpaceDE/>
        <w:autoSpaceDN/>
        <w:bidi w:val="0"/>
        <w:adjustRightInd/>
        <w:snapToGrid/>
        <w:ind w:firstLine="420" w:firstLineChars="200"/>
        <w:textAlignment w:val="auto"/>
        <w:rPr>
          <w:rFonts w:hint="default" w:ascii="Times New Roman" w:hAnsi="Times New Roman" w:cs="Times New Roman"/>
        </w:rPr>
      </w:pPr>
      <w:r>
        <w:rPr>
          <w:rFonts w:hint="default" w:ascii="Times New Roman" w:hAnsi="Times New Roman" w:cs="Times New Roman"/>
        </w:rPr>
        <w:t>每批受检样品抽样检验时，应对不符合外观等级要求的样品予以记录，不合格率按有缺陷果实质量计算，整批受检样品的平均不合格率不应超过5%，且单件包装样品的不合格率不应超过10%。理化指标如有一项不合格，应加倍抽样进行复检，若复检结果仍不合格，则判定该批产品不符合相应等级。卫生指标中如有一项不合格，即判定该批次产品不合格，且不得复检。</w:t>
      </w:r>
    </w:p>
    <w:p w14:paraId="6CC6CE68">
      <w:pPr>
        <w:pStyle w:val="57"/>
        <w:ind w:left="0" w:leftChars="0" w:firstLine="0" w:firstLineChars="0"/>
        <w:rPr>
          <w:rFonts w:hint="default" w:ascii="Times New Roman" w:hAnsi="Times New Roman" w:eastAsia="宋体" w:cs="Times New Roman"/>
          <w:lang w:val="en-US" w:eastAsia="zh-CN"/>
        </w:rPr>
      </w:pPr>
    </w:p>
    <w:p w14:paraId="05133606">
      <w:pPr>
        <w:pStyle w:val="166"/>
        <w:numPr>
          <w:ilvl w:val="3"/>
          <w:numId w:val="0"/>
        </w:numPr>
        <w:rPr>
          <w:rFonts w:hint="default" w:ascii="Times New Roman" w:hAnsi="Times New Roman" w:cs="Times New Roman"/>
        </w:rPr>
      </w:pPr>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2B3E7">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4491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50B3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1A63D">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839C3">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8EABA">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37D7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AE029A">
    <w:pPr>
      <w:pStyle w:val="62"/>
    </w:pPr>
    <w:r>
      <w:fldChar w:fldCharType="begin"/>
    </w:r>
    <w:r>
      <w:instrText xml:space="preserve"> STYLEREF  标准文件_文件编号  \* MERGEFORMAT </w:instrText>
    </w:r>
    <w:r>
      <w:fldChar w:fldCharType="separate"/>
    </w:r>
    <w:r>
      <w:t>T/CNCAIA XXXX—2026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058840">
    <w:pPr>
      <w:pStyle w:val="18"/>
      <w:jc w:val="right"/>
    </w:pPr>
    <w:r>
      <w:fldChar w:fldCharType="begin"/>
    </w:r>
    <w:r>
      <w:instrText xml:space="preserve"> STYLEREF  标准文件_文件编号  \* MERGEFORMAT </w:instrText>
    </w:r>
    <w:r>
      <w:fldChar w:fldCharType="separate"/>
    </w:r>
    <w:r>
      <w:t>T/CNCAIA XXXX—2026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Jzlj8W3J9RAO4MNz0f9kWdcaFKlo0RAZUaeksMBHH5MI8AMeSsPxVJ1+cPEBCPsnX6ZeWTRkavS4wsoLggibXQ==" w:salt="muVR/dRjmFtqXgOaIVnDrQ=="/>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hODg5NWFhNzUxYzY3YmE1ODAxZWI2NDVjZGUyODUifQ=="/>
  </w:docVars>
  <w:rsids>
    <w:rsidRoot w:val="00AA349B"/>
    <w:rsid w:val="0000040A"/>
    <w:rsid w:val="00000A94"/>
    <w:rsid w:val="00001972"/>
    <w:rsid w:val="00001D9A"/>
    <w:rsid w:val="00002D44"/>
    <w:rsid w:val="00007B3A"/>
    <w:rsid w:val="000107E0"/>
    <w:rsid w:val="00011FDE"/>
    <w:rsid w:val="00012FFD"/>
    <w:rsid w:val="00013531"/>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139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3E5F"/>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5A07"/>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A2D"/>
    <w:rsid w:val="00266EEB"/>
    <w:rsid w:val="00267EF4"/>
    <w:rsid w:val="00270CB8"/>
    <w:rsid w:val="00272B08"/>
    <w:rsid w:val="002818DB"/>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27E"/>
    <w:rsid w:val="002B1966"/>
    <w:rsid w:val="002B4508"/>
    <w:rsid w:val="002B5779"/>
    <w:rsid w:val="002B7332"/>
    <w:rsid w:val="002B7F51"/>
    <w:rsid w:val="002C09E7"/>
    <w:rsid w:val="002C1E06"/>
    <w:rsid w:val="002C2CB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3E9E"/>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4B"/>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1A6"/>
    <w:rsid w:val="004746B1"/>
    <w:rsid w:val="0047583F"/>
    <w:rsid w:val="00475DE8"/>
    <w:rsid w:val="00481C44"/>
    <w:rsid w:val="00484936"/>
    <w:rsid w:val="00485C89"/>
    <w:rsid w:val="00486BE3"/>
    <w:rsid w:val="0049009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3F3B"/>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D2E"/>
    <w:rsid w:val="00555044"/>
    <w:rsid w:val="00561475"/>
    <w:rsid w:val="00562308"/>
    <w:rsid w:val="005624A7"/>
    <w:rsid w:val="0056487B"/>
    <w:rsid w:val="00564FB9"/>
    <w:rsid w:val="00573D9E"/>
    <w:rsid w:val="005801E3"/>
    <w:rsid w:val="00581802"/>
    <w:rsid w:val="005836A8"/>
    <w:rsid w:val="0058409C"/>
    <w:rsid w:val="00584262"/>
    <w:rsid w:val="00585E9C"/>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00B"/>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527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5DD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2A51"/>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31A"/>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15D4"/>
    <w:rsid w:val="0096381A"/>
    <w:rsid w:val="00965E04"/>
    <w:rsid w:val="00967447"/>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407D"/>
    <w:rsid w:val="0099551B"/>
    <w:rsid w:val="00996BD2"/>
    <w:rsid w:val="00997661"/>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4BF5"/>
    <w:rsid w:val="00A862D6"/>
    <w:rsid w:val="00A8715E"/>
    <w:rsid w:val="00A9295B"/>
    <w:rsid w:val="00A93B09"/>
    <w:rsid w:val="00A952D7"/>
    <w:rsid w:val="00A963F7"/>
    <w:rsid w:val="00A96AD8"/>
    <w:rsid w:val="00AA052C"/>
    <w:rsid w:val="00AA1E45"/>
    <w:rsid w:val="00AA349B"/>
    <w:rsid w:val="00AA4286"/>
    <w:rsid w:val="00AA456B"/>
    <w:rsid w:val="00AA57F5"/>
    <w:rsid w:val="00AA672E"/>
    <w:rsid w:val="00AA6EC9"/>
    <w:rsid w:val="00AB1D0D"/>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12B4"/>
    <w:rsid w:val="00B939B1"/>
    <w:rsid w:val="00B96D40"/>
    <w:rsid w:val="00B97386"/>
    <w:rsid w:val="00BA263B"/>
    <w:rsid w:val="00BA42B2"/>
    <w:rsid w:val="00BA58D4"/>
    <w:rsid w:val="00BA5B9E"/>
    <w:rsid w:val="00BA745B"/>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07A04"/>
    <w:rsid w:val="00C103E5"/>
    <w:rsid w:val="00C13319"/>
    <w:rsid w:val="00C13EE9"/>
    <w:rsid w:val="00C21540"/>
    <w:rsid w:val="00C21906"/>
    <w:rsid w:val="00C21BFA"/>
    <w:rsid w:val="00C227B9"/>
    <w:rsid w:val="00C24C8D"/>
    <w:rsid w:val="00C25FE2"/>
    <w:rsid w:val="00C26B53"/>
    <w:rsid w:val="00C279B2"/>
    <w:rsid w:val="00C30B48"/>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44BC"/>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3D4"/>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3367"/>
    <w:rsid w:val="00F6412A"/>
    <w:rsid w:val="00F65893"/>
    <w:rsid w:val="00F663BD"/>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5B03"/>
    <w:rsid w:val="00FE7E79"/>
    <w:rsid w:val="00FF3E7D"/>
    <w:rsid w:val="00FF5B99"/>
    <w:rsid w:val="00FF730C"/>
    <w:rsid w:val="00FF73F4"/>
    <w:rsid w:val="00FF7CE4"/>
    <w:rsid w:val="00FF7E39"/>
    <w:rsid w:val="034A70C0"/>
    <w:rsid w:val="060F44FC"/>
    <w:rsid w:val="06FE6B3F"/>
    <w:rsid w:val="07F92E63"/>
    <w:rsid w:val="0B6131F9"/>
    <w:rsid w:val="0BA025AE"/>
    <w:rsid w:val="0BB102BE"/>
    <w:rsid w:val="0C9413AC"/>
    <w:rsid w:val="102D7AF9"/>
    <w:rsid w:val="12F31522"/>
    <w:rsid w:val="14D335B0"/>
    <w:rsid w:val="16CD1660"/>
    <w:rsid w:val="1AD559B1"/>
    <w:rsid w:val="1B3B6807"/>
    <w:rsid w:val="1F90634B"/>
    <w:rsid w:val="204C14F0"/>
    <w:rsid w:val="218F6894"/>
    <w:rsid w:val="21D27DD5"/>
    <w:rsid w:val="25363D42"/>
    <w:rsid w:val="264A1001"/>
    <w:rsid w:val="26843FD6"/>
    <w:rsid w:val="26980731"/>
    <w:rsid w:val="299B5324"/>
    <w:rsid w:val="2A85246B"/>
    <w:rsid w:val="2B224D45"/>
    <w:rsid w:val="2F191EB9"/>
    <w:rsid w:val="2F4405B8"/>
    <w:rsid w:val="2FCA6D0F"/>
    <w:rsid w:val="30C916BD"/>
    <w:rsid w:val="351E78C7"/>
    <w:rsid w:val="3AF410E4"/>
    <w:rsid w:val="3B3F2CA7"/>
    <w:rsid w:val="44C602C6"/>
    <w:rsid w:val="45BA618A"/>
    <w:rsid w:val="466B0DF4"/>
    <w:rsid w:val="473E1636"/>
    <w:rsid w:val="48AB197C"/>
    <w:rsid w:val="4A873D23"/>
    <w:rsid w:val="4BBA0128"/>
    <w:rsid w:val="4CCF550D"/>
    <w:rsid w:val="4D2C3EA2"/>
    <w:rsid w:val="4EAC01FC"/>
    <w:rsid w:val="4F9A44F8"/>
    <w:rsid w:val="50694005"/>
    <w:rsid w:val="52FC5D2F"/>
    <w:rsid w:val="53AC0356"/>
    <w:rsid w:val="55BB4213"/>
    <w:rsid w:val="57E9601D"/>
    <w:rsid w:val="5B7200D7"/>
    <w:rsid w:val="5FA23C0D"/>
    <w:rsid w:val="62814380"/>
    <w:rsid w:val="6B9419A4"/>
    <w:rsid w:val="6C3B0CFF"/>
    <w:rsid w:val="70291255"/>
    <w:rsid w:val="703A6A9D"/>
    <w:rsid w:val="70F437E3"/>
    <w:rsid w:val="70FD7FEB"/>
    <w:rsid w:val="71983564"/>
    <w:rsid w:val="726B5B54"/>
    <w:rsid w:val="770E6D12"/>
    <w:rsid w:val="77495D38"/>
    <w:rsid w:val="788419D7"/>
    <w:rsid w:val="79E306C6"/>
    <w:rsid w:val="79E81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Times New Roman"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style>
  <w:style w:type="paragraph" w:customStyle="1" w:styleId="190">
    <w:name w:val="标准文件_一级项2"/>
    <w:basedOn w:val="57"/>
    <w:qFormat/>
    <w:uiPriority w:val="0"/>
    <w:pPr>
      <w:numPr>
        <w:ilvl w:val="0"/>
        <w:numId w:val="31"/>
      </w:numPr>
      <w:spacing w:line="300" w:lineRule="exact"/>
      <w:ind w:firstLineChars="0"/>
    </w:p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basedOn w:val="1"/>
    <w:qFormat/>
    <w:uiPriority w:val="0"/>
    <w:pPr>
      <w:widowControl/>
      <w:autoSpaceDE w:val="0"/>
      <w:autoSpaceDN w:val="0"/>
      <w:adjustRightInd/>
      <w:spacing w:after="160" w:line="240" w:lineRule="auto"/>
      <w:ind w:firstLine="420" w:firstLineChars="200"/>
    </w:pPr>
    <w:rPr>
      <w:rFonts w:ascii="宋体" w:hAnsi="Times New Roman"/>
      <w:kern w:val="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840614E654145D5BC7E1B1AEA287D34"/>
        <w:style w:val=""/>
        <w:category>
          <w:name w:val="常规"/>
          <w:gallery w:val="placeholder"/>
        </w:category>
        <w:types>
          <w:type w:val="bbPlcHdr"/>
        </w:types>
        <w:behaviors>
          <w:behavior w:val="content"/>
        </w:behaviors>
        <w:description w:val=""/>
        <w:guid w:val="{967C6D70-E6B0-4B35-837D-93707D12D72B}"/>
      </w:docPartPr>
      <w:docPartBody>
        <w:p w14:paraId="6628B44C">
          <w:pPr>
            <w:pStyle w:val="5"/>
          </w:pPr>
          <w:r>
            <w:rPr>
              <w:rStyle w:val="4"/>
              <w:rFonts w:hint="eastAsia"/>
            </w:rPr>
            <w:t>单击或点击此处输入文字。</w:t>
          </w:r>
        </w:p>
      </w:docPartBody>
    </w:docPart>
    <w:docPart>
      <w:docPartPr>
        <w:name w:val="EF998AB1590646C3AF6DB25BB5BC3A5F"/>
        <w:style w:val=""/>
        <w:category>
          <w:name w:val="常规"/>
          <w:gallery w:val="placeholder"/>
        </w:category>
        <w:types>
          <w:type w:val="bbPlcHdr"/>
        </w:types>
        <w:behaviors>
          <w:behavior w:val="content"/>
        </w:behaviors>
        <w:description w:val=""/>
        <w:guid w:val="{BC525E7A-D975-46FA-9B77-02667AC35ABF}"/>
      </w:docPartPr>
      <w:docPartBody>
        <w:p w14:paraId="4FCEF85B">
          <w:pPr>
            <w:pStyle w:val="6"/>
          </w:pPr>
          <w:r>
            <w:rPr>
              <w:rStyle w:val="4"/>
              <w:rFonts w:hint="eastAsia"/>
            </w:rPr>
            <w:t>选择一项。</w:t>
          </w:r>
        </w:p>
      </w:docPartBody>
    </w:docPart>
    <w:docPart>
      <w:docPartPr>
        <w:name w:val="B0A6F8C892FD417D8E1DADBB4D22B1C7"/>
        <w:style w:val=""/>
        <w:category>
          <w:name w:val="常规"/>
          <w:gallery w:val="placeholder"/>
        </w:category>
        <w:types>
          <w:type w:val="bbPlcHdr"/>
        </w:types>
        <w:behaviors>
          <w:behavior w:val="content"/>
        </w:behaviors>
        <w:description w:val=""/>
        <w:guid w:val="{01ECC553-0FEA-4209-B195-2D70B3FB2D7F}"/>
      </w:docPartPr>
      <w:docPartBody>
        <w:p w14:paraId="336171A8">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182"/>
    <w:rsid w:val="00177FDB"/>
    <w:rsid w:val="001B6182"/>
    <w:rsid w:val="00342FD3"/>
    <w:rsid w:val="00382550"/>
    <w:rsid w:val="003A404B"/>
    <w:rsid w:val="00490093"/>
    <w:rsid w:val="00500D23"/>
    <w:rsid w:val="008025C2"/>
    <w:rsid w:val="008F2233"/>
    <w:rsid w:val="00A52A6C"/>
    <w:rsid w:val="00A84BF5"/>
    <w:rsid w:val="00D53498"/>
    <w:rsid w:val="00DF7FA3"/>
    <w:rsid w:val="00F251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840614E654145D5BC7E1B1AEA287D3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EF998AB1590646C3AF6DB25BB5BC3A5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B0A6F8C892FD417D8E1DADBB4D22B1C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Pages>5</Pages>
  <Words>1883</Words>
  <Characters>2334</Characters>
  <Lines>45</Lines>
  <Paragraphs>12</Paragraphs>
  <TotalTime>0</TotalTime>
  <ScaleCrop>false</ScaleCrop>
  <LinksUpToDate>false</LinksUpToDate>
  <CharactersWithSpaces>2442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2026-07-28T23:22:00Z</dcterms:created>
  <dc:creator>马晓燕</dc:creator>
  <cp:lastModifiedBy>caia</cp:lastModifiedBy>
  <cp:lastPrinted>2021-02-02T08:22:00Z</cp:lastPrinted>
  <dcterms:modified xsi:type="dcterms:W3CDTF">2026-08-17T02:45:48Z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2052-12.1.0.28043</vt:lpwstr>
  </property>
  <property fmtid="{D5CDD505-2E9C-101B-9397-08002B2CF9AE}" pid="15" name="ICV">
    <vt:lpwstr>EE8E6A631EBE40CAB9007F8EE91CF757_13</vt:lpwstr>
  </property>
  <property fmtid="{D5CDD505-2E9C-101B-9397-08002B2CF9AE}" pid="16" name="KSOTemplateDocerSaveRecord">
    <vt:lpwstr>eyJoZGlkIjoiN2IxZjI5ZDdhYzUzNTY1MzE5MGRjY2M0NDQ3OTk0MjgiLCJ1c2VySWQiOiI0NjIxOTUwMjYifQ==</vt:lpwstr>
  </property>
</Properties>
</file>